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FZDHTJW--GB1-0" w:hAnsi="FZDHTJW--GB1-0" w:eastAsia="FZDHTJW--GB1-0" w:cs="FZDHTJW--GB1-0"/>
          <w:color w:val="231F20"/>
          <w:kern w:val="0"/>
          <w:sz w:val="47"/>
          <w:szCs w:val="47"/>
          <w:lang w:val="en-US" w:eastAsia="zh-CN" w:bidi="ar"/>
        </w:rPr>
      </w:pPr>
      <w:r>
        <w:rPr>
          <w:rFonts w:ascii="FZDHTJW--GB1-0" w:hAnsi="FZDHTJW--GB1-0" w:eastAsia="FZDHTJW--GB1-0" w:cs="FZDHTJW--GB1-0"/>
          <w:color w:val="231F20"/>
          <w:kern w:val="0"/>
          <w:sz w:val="47"/>
          <w:szCs w:val="47"/>
          <w:lang w:val="en-US" w:eastAsia="zh-CN" w:bidi="ar"/>
        </w:rPr>
        <w:t>浅谈中医药文化的国际化发展之路</w:t>
      </w:r>
    </w:p>
    <w:p>
      <w:pPr>
        <w:keepNext w:val="0"/>
        <w:keepLines w:val="0"/>
        <w:widowControl/>
        <w:suppressLineNumbers w:val="0"/>
        <w:jc w:val="center"/>
      </w:pPr>
      <w:r>
        <w:rPr>
          <w:rFonts w:ascii="黑体" w:hAnsi="宋体" w:eastAsia="黑体" w:cs="黑体"/>
          <w:color w:val="231F20"/>
          <w:kern w:val="0"/>
          <w:sz w:val="20"/>
          <w:szCs w:val="20"/>
          <w:lang w:val="en-US" w:eastAsia="zh-CN" w:bidi="ar"/>
        </w:rPr>
        <w:t>胡景璇</w:t>
      </w:r>
      <w:r>
        <w:rPr>
          <w:rFonts w:hint="eastAsia" w:ascii="黑体" w:hAnsi="宋体" w:eastAsia="黑体" w:cs="黑体"/>
          <w:color w:val="231F20"/>
          <w:kern w:val="0"/>
          <w:sz w:val="20"/>
          <w:szCs w:val="20"/>
          <w:lang w:val="en-US" w:eastAsia="zh-CN" w:bidi="ar"/>
        </w:rPr>
        <w:t xml:space="preserve"> </w:t>
      </w:r>
      <w:r>
        <w:rPr>
          <w:rFonts w:ascii="黑体" w:hAnsi="宋体" w:eastAsia="黑体" w:cs="黑体"/>
          <w:color w:val="231F20"/>
          <w:kern w:val="0"/>
          <w:sz w:val="20"/>
          <w:szCs w:val="20"/>
          <w:lang w:val="en-US" w:eastAsia="zh-CN" w:bidi="ar"/>
        </w:rPr>
        <w:t>吴荣华</w:t>
      </w:r>
      <w:r>
        <w:rPr>
          <w:rFonts w:hint="eastAsia" w:ascii="黑体" w:hAnsi="宋体" w:eastAsia="黑体" w:cs="黑体"/>
          <w:color w:val="231F20"/>
          <w:kern w:val="0"/>
          <w:sz w:val="20"/>
          <w:szCs w:val="20"/>
          <w:lang w:val="en-US" w:eastAsia="zh-CN" w:bidi="ar"/>
        </w:rPr>
        <w:t xml:space="preserve"> </w:t>
      </w:r>
      <w:r>
        <w:rPr>
          <w:rFonts w:ascii="黑体" w:hAnsi="宋体" w:eastAsia="黑体" w:cs="黑体"/>
          <w:color w:val="231F20"/>
          <w:kern w:val="0"/>
          <w:sz w:val="20"/>
          <w:szCs w:val="20"/>
          <w:lang w:val="en-US" w:eastAsia="zh-CN" w:bidi="ar"/>
        </w:rPr>
        <w:t>孟晓伟</w:t>
      </w:r>
    </w:p>
    <w:p>
      <w:pPr>
        <w:keepNext w:val="0"/>
        <w:keepLines w:val="0"/>
        <w:widowControl/>
        <w:suppressLineNumbers w:val="0"/>
        <w:jc w:val="center"/>
      </w:pPr>
      <w:r>
        <w:rPr>
          <w:rFonts w:hint="eastAsia" w:ascii="黑体" w:hAnsi="宋体" w:eastAsia="黑体" w:cs="黑体"/>
          <w:color w:val="231F20"/>
          <w:kern w:val="0"/>
          <w:sz w:val="20"/>
          <w:szCs w:val="20"/>
          <w:lang w:val="en-US" w:eastAsia="zh-CN" w:bidi="ar"/>
        </w:rPr>
        <w:t>（江西中医药大学江西南昌330004）</w:t>
      </w:r>
    </w:p>
    <w:p>
      <w:pPr>
        <w:keepNext w:val="0"/>
        <w:keepLines w:val="0"/>
        <w:widowControl/>
        <w:suppressLineNumbers w:val="0"/>
        <w:jc w:val="left"/>
        <w:rPr>
          <w:rFonts w:hint="eastAsia" w:ascii="楷体" w:hAnsi="楷体" w:eastAsia="楷体" w:cs="楷体"/>
          <w:color w:val="231F20"/>
          <w:kern w:val="0"/>
          <w:sz w:val="17"/>
          <w:szCs w:val="17"/>
          <w:lang w:val="en-US" w:eastAsia="zh-CN" w:bidi="ar"/>
        </w:rPr>
      </w:pPr>
      <w:r>
        <w:rPr>
          <w:rFonts w:hint="eastAsia" w:ascii="楷体" w:hAnsi="楷体" w:eastAsia="楷体" w:cs="楷体"/>
          <w:b/>
          <w:bCs/>
          <w:color w:val="231F20"/>
          <w:kern w:val="0"/>
          <w:sz w:val="17"/>
          <w:szCs w:val="17"/>
          <w:lang w:val="en-US" w:eastAsia="zh-CN" w:bidi="ar"/>
        </w:rPr>
        <w:t>摘要：</w:t>
      </w:r>
      <w:r>
        <w:rPr>
          <w:rFonts w:hint="eastAsia" w:ascii="楷体" w:hAnsi="楷体" w:eastAsia="楷体" w:cs="楷体"/>
          <w:color w:val="231F20"/>
          <w:kern w:val="0"/>
          <w:sz w:val="17"/>
          <w:szCs w:val="17"/>
          <w:lang w:val="en-US" w:eastAsia="zh-CN" w:bidi="ar"/>
        </w:rPr>
        <w:t>中医药是我国数千年来的文化瑰宝，是我国独有的医学珍宝。在全球范围内持续进行中医药文化渗透，是中医药成功走向国际化的基础和保障。本文将通过以下具体措施浅谈中医药文化的国际化发展策略：丰富中医药的国际交流内容，注重中医药典籍的外文翻译，大力发展留学生中医药教育，广泛宣传中医药医疗成就，以期凭借中医文化的逐步渗透，获得中医药的国际认可，提升中医药的国际地位。</w:t>
      </w:r>
    </w:p>
    <w:p>
      <w:pPr>
        <w:keepNext w:val="0"/>
        <w:keepLines w:val="0"/>
        <w:widowControl/>
        <w:suppressLineNumbers w:val="0"/>
        <w:jc w:val="left"/>
        <w:rPr>
          <w:rFonts w:hint="eastAsia" w:ascii="楷体" w:hAnsi="楷体" w:eastAsia="楷体" w:cs="楷体"/>
          <w:color w:val="231F20"/>
          <w:kern w:val="0"/>
          <w:sz w:val="17"/>
          <w:szCs w:val="17"/>
          <w:lang w:val="en-US" w:eastAsia="zh-CN" w:bidi="ar"/>
        </w:rPr>
      </w:pPr>
      <w:r>
        <w:rPr>
          <w:rFonts w:hint="eastAsia" w:ascii="楷体" w:hAnsi="楷体" w:eastAsia="楷体" w:cs="楷体"/>
          <w:b/>
          <w:bCs/>
          <w:color w:val="231F20"/>
          <w:kern w:val="0"/>
          <w:sz w:val="17"/>
          <w:szCs w:val="17"/>
          <w:lang w:val="en-US" w:eastAsia="zh-CN" w:bidi="ar"/>
        </w:rPr>
        <w:t>关键词</w:t>
      </w:r>
      <w:r>
        <w:rPr>
          <w:rFonts w:hint="eastAsia" w:ascii="楷体" w:hAnsi="楷体" w:eastAsia="楷体" w:cs="楷体"/>
          <w:color w:val="231F20"/>
          <w:kern w:val="0"/>
          <w:sz w:val="17"/>
          <w:szCs w:val="17"/>
          <w:lang w:val="en-US" w:eastAsia="zh-CN" w:bidi="ar"/>
        </w:rPr>
        <w:t>：</w:t>
      </w:r>
      <w:r>
        <w:rPr>
          <w:rFonts w:hint="eastAsia" w:ascii="楷体" w:hAnsi="楷体" w:eastAsia="楷体" w:cs="楷体"/>
          <w:color w:val="231F20"/>
          <w:kern w:val="0"/>
          <w:sz w:val="17"/>
          <w:szCs w:val="17"/>
          <w:lang w:val="en-US" w:eastAsia="zh-CN" w:bidi="ar"/>
        </w:rPr>
        <w:t>中医药文化;</w:t>
      </w:r>
      <w:r>
        <w:rPr>
          <w:rFonts w:hint="eastAsia" w:ascii="楷体" w:hAnsi="楷体" w:eastAsia="楷体" w:cs="楷体"/>
          <w:color w:val="231F20"/>
          <w:kern w:val="0"/>
          <w:sz w:val="17"/>
          <w:szCs w:val="17"/>
          <w:lang w:val="en-US" w:eastAsia="zh-CN" w:bidi="ar"/>
        </w:rPr>
        <w:t>国际化;</w:t>
      </w:r>
      <w:r>
        <w:rPr>
          <w:rFonts w:hint="eastAsia" w:ascii="楷体" w:hAnsi="楷体" w:eastAsia="楷体" w:cs="楷体"/>
          <w:color w:val="231F20"/>
          <w:kern w:val="0"/>
          <w:sz w:val="17"/>
          <w:szCs w:val="17"/>
          <w:lang w:val="en-US" w:eastAsia="zh-CN" w:bidi="ar"/>
        </w:rPr>
        <w:t>发展</w:t>
      </w:r>
    </w:p>
    <w:p>
      <w:pPr>
        <w:keepNext w:val="0"/>
        <w:keepLines w:val="0"/>
        <w:widowControl/>
        <w:suppressLineNumbers w:val="0"/>
        <w:jc w:val="left"/>
        <w:rPr>
          <w:rFonts w:hint="eastAsia" w:ascii="楷体" w:hAnsi="楷体" w:eastAsia="楷体" w:cs="楷体"/>
        </w:rPr>
      </w:pPr>
      <w:r>
        <w:rPr>
          <w:rFonts w:hint="eastAsia" w:ascii="楷体" w:hAnsi="楷体" w:eastAsia="楷体" w:cs="楷体"/>
          <w:color w:val="231F20"/>
          <w:kern w:val="0"/>
          <w:sz w:val="17"/>
          <w:szCs w:val="17"/>
          <w:lang w:val="en-US" w:eastAsia="zh-CN" w:bidi="ar"/>
        </w:rPr>
        <w:t>基金项目：</w:t>
      </w:r>
      <w:r>
        <w:rPr>
          <w:rFonts w:hint="eastAsia" w:ascii="楷体" w:hAnsi="楷体" w:eastAsia="楷体" w:cs="楷体"/>
          <w:color w:val="231F20"/>
          <w:kern w:val="0"/>
          <w:sz w:val="17"/>
          <w:szCs w:val="17"/>
          <w:lang w:val="en-US" w:eastAsia="zh-CN" w:bidi="ar"/>
        </w:rPr>
        <w:t>江西省中医药管理局课题：基于“一带一路”倡议背景下江西中医药国际化发展研究（编号：2016B025</w:t>
      </w:r>
      <w:r>
        <w:rPr>
          <w:rFonts w:hint="eastAsia" w:ascii="楷体" w:hAnsi="楷体" w:eastAsia="楷体" w:cs="楷体"/>
          <w:color w:val="231F20"/>
          <w:kern w:val="0"/>
          <w:sz w:val="17"/>
          <w:szCs w:val="17"/>
          <w:lang w:val="en-US" w:eastAsia="zh-CN" w:bidi="ar"/>
        </w:rPr>
        <w:t>）；江西中医药大学校级教改课题：中医药院校学生中医药文化素养提升路径探索（编号：2016jzyxrw-1</w:t>
      </w:r>
      <w:r>
        <w:rPr>
          <w:rFonts w:hint="eastAsia" w:ascii="楷体" w:hAnsi="楷体" w:eastAsia="楷体" w:cs="楷体"/>
          <w:color w:val="231F20"/>
          <w:kern w:val="0"/>
          <w:sz w:val="17"/>
          <w:szCs w:val="17"/>
          <w:lang w:val="en-US" w:eastAsia="zh-CN" w:bidi="ar"/>
        </w:rPr>
        <w:t>）</w:t>
      </w:r>
    </w:p>
    <w:p>
      <w:pPr>
        <w:keepNext w:val="0"/>
        <w:keepLines w:val="0"/>
        <w:widowControl/>
        <w:suppressLineNumbers w:val="0"/>
        <w:ind w:firstLine="352" w:firstLineChars="200"/>
        <w:jc w:val="left"/>
        <w:rPr>
          <w:rFonts w:hint="eastAsia" w:ascii="楷体" w:hAnsi="楷体" w:eastAsia="楷体" w:cs="楷体"/>
          <w:color w:val="231F20"/>
          <w:kern w:val="0"/>
          <w:sz w:val="17"/>
          <w:szCs w:val="17"/>
          <w:lang w:val="en-US" w:eastAsia="zh-CN" w:bidi="ar"/>
        </w:rPr>
      </w:pPr>
      <w:r>
        <w:rPr>
          <w:rFonts w:hint="eastAsia" w:ascii="楷体" w:hAnsi="楷体" w:eastAsia="楷体" w:cs="楷体"/>
          <w:color w:val="231F20"/>
          <w:kern w:val="0"/>
          <w:sz w:val="17"/>
          <w:szCs w:val="17"/>
          <w:lang w:val="en-US" w:eastAsia="zh-CN" w:bidi="ar"/>
        </w:rPr>
        <w:t>中医药是中华民族数千年来智慧与经验的结晶，在疾病的防治方面积累了丰富的经验，拥有独特的治病理念与方法。如今全球化、多样化的发展，中医药要发扬光大就必须走出国门，走向国际化。科技支撑、文化渗透、医疗服务、产业开发和人才培养是实现中医药国际化的五大支柱。要想让世界更多的人去认识、接受、享受、信赖中医，首先是向世界进行中医文化冲击。以中医文化熏陶作为基础建设，推进中医药现代化和国际化进程。</w:t>
      </w:r>
    </w:p>
    <w:p>
      <w:pPr>
        <w:keepNext w:val="0"/>
        <w:keepLines w:val="0"/>
        <w:widowControl/>
        <w:numPr>
          <w:ilvl w:val="0"/>
          <w:numId w:val="1"/>
        </w:numPr>
        <w:suppressLineNumbers w:val="0"/>
        <w:ind w:firstLine="412" w:firstLineChars="200"/>
        <w:jc w:val="left"/>
        <w:rPr>
          <w:rFonts w:hint="eastAsia" w:ascii="楷体" w:hAnsi="楷体" w:eastAsia="楷体" w:cs="楷体"/>
          <w:color w:val="231F20"/>
          <w:kern w:val="0"/>
          <w:sz w:val="20"/>
          <w:szCs w:val="20"/>
          <w:lang w:val="en-US" w:eastAsia="zh-CN" w:bidi="ar"/>
        </w:rPr>
      </w:pPr>
      <w:r>
        <w:rPr>
          <w:rFonts w:hint="eastAsia" w:ascii="楷体" w:hAnsi="楷体" w:eastAsia="楷体" w:cs="楷体"/>
          <w:color w:val="231F20"/>
          <w:kern w:val="0"/>
          <w:sz w:val="20"/>
          <w:szCs w:val="20"/>
          <w:lang w:val="en-US" w:eastAsia="zh-CN" w:bidi="ar"/>
        </w:rPr>
        <w:t>丰富中医药的国际交流内容，增强中医药文化的渗透度</w:t>
      </w:r>
    </w:p>
    <w:p>
      <w:pPr>
        <w:keepNext w:val="0"/>
        <w:keepLines w:val="0"/>
        <w:widowControl/>
        <w:numPr>
          <w:numId w:val="0"/>
        </w:numPr>
        <w:suppressLineNumbers w:val="0"/>
        <w:ind w:firstLine="352" w:firstLineChars="200"/>
        <w:jc w:val="left"/>
        <w:rPr>
          <w:rFonts w:hint="eastAsia" w:ascii="楷体" w:hAnsi="楷体" w:eastAsia="楷体" w:cs="楷体"/>
          <w:color w:val="231F20"/>
          <w:kern w:val="0"/>
          <w:sz w:val="17"/>
          <w:szCs w:val="17"/>
          <w:lang w:val="en-US" w:eastAsia="zh-CN" w:bidi="ar"/>
        </w:rPr>
      </w:pPr>
      <w:r>
        <w:rPr>
          <w:rFonts w:hint="eastAsia" w:ascii="楷体" w:hAnsi="楷体" w:eastAsia="楷体" w:cs="楷体"/>
          <w:color w:val="231F20"/>
          <w:kern w:val="0"/>
          <w:sz w:val="17"/>
          <w:szCs w:val="17"/>
          <w:lang w:val="en-US" w:eastAsia="zh-CN" w:bidi="ar"/>
        </w:rPr>
        <w:t>开放思想，对外交流是将中医药带出国门，带向世界的有效方式。只有我们中国人积极主动的将中医药置身于全球医学体系的大背景中，让中医文化成为世界文化的一个重要元素，才有可能让世界更多的人享受中医特色诊疗和顺利进行中医药的国际化发展。具体可从三方面进行，首先，改变中医药单一的学术技能交流模式。第四次中国国家形象全球调查表明，中医是最能代表中国文化的元素。因此可凭借这一得天独厚的优势在学术交流会中加入中医药古典文化欣赏环节弘扬中国文化，如以情景剧的形式再现神农尝百草的历史故事，向外国交流者普及中医药文化。第二，搭建“互联网+中医药文化”传播新模式。利用互联网拓宽中医药文化传播范围，创新中医药文化呈现方式，如建立3D中医药文化网络博物馆，使外国人足不出户就可以领略东方中医文化的传奇色彩。第三，依托中国文化交流机构</w:t>
      </w:r>
      <w:r>
        <w:rPr>
          <w:rFonts w:hint="eastAsia" w:ascii="楷体" w:hAnsi="楷体" w:eastAsia="楷体" w:cs="楷体"/>
          <w:color w:val="231F20"/>
          <w:kern w:val="0"/>
          <w:sz w:val="19"/>
          <w:szCs w:val="19"/>
          <w:lang w:val="en-US" w:eastAsia="zh-CN" w:bidi="ar"/>
        </w:rPr>
        <w:t>—</w:t>
      </w:r>
      <w:r>
        <w:rPr>
          <w:rFonts w:hint="eastAsia" w:ascii="楷体" w:hAnsi="楷体" w:eastAsia="楷体" w:cs="楷体"/>
          <w:color w:val="231F20"/>
          <w:kern w:val="0"/>
          <w:sz w:val="17"/>
          <w:szCs w:val="17"/>
          <w:lang w:val="en-US" w:eastAsia="zh-CN" w:bidi="ar"/>
        </w:rPr>
        <w:t>—</w:t>
      </w:r>
      <w:r>
        <w:rPr>
          <w:rFonts w:hint="eastAsia" w:ascii="楷体" w:hAnsi="楷体" w:eastAsia="楷体" w:cs="楷体"/>
          <w:color w:val="231F20"/>
          <w:kern w:val="0"/>
          <w:sz w:val="17"/>
          <w:szCs w:val="17"/>
          <w:lang w:val="en-US" w:eastAsia="zh-CN" w:bidi="ar"/>
        </w:rPr>
        <w:t>孔子学院传授中医文化。截的地位，可以扩展的行业领域包括船舶、工业、医疗、航空等，可以拓展的新业务包括回租租赁、风险租赁、杠杆租赁等，这样能够有效地扩大融资租赁行业的市场覆盖率，对行业发展大有裨益；第二，融资租赁企业应加快转型速度。目前，多数融资租赁企业都是以银行为依托的，这从某种程度上制约着融资租赁企业的发展，因此，融资租赁企业可以转型为股份制公司，利用发行债券或股票来获得资金投入，这样既降低了成本，又获得了一定数量的资金。</w:t>
      </w:r>
    </w:p>
    <w:p>
      <w:pPr>
        <w:keepNext w:val="0"/>
        <w:keepLines w:val="0"/>
        <w:widowControl/>
        <w:numPr>
          <w:ilvl w:val="0"/>
          <w:numId w:val="2"/>
        </w:numPr>
        <w:suppressLineNumbers w:val="0"/>
        <w:ind w:firstLine="352" w:firstLineChars="200"/>
        <w:jc w:val="left"/>
        <w:rPr>
          <w:rFonts w:hint="eastAsia" w:ascii="楷体" w:hAnsi="楷体" w:eastAsia="楷体" w:cs="楷体"/>
          <w:color w:val="231F20"/>
          <w:kern w:val="0"/>
          <w:sz w:val="17"/>
          <w:szCs w:val="17"/>
          <w:lang w:val="en-US" w:eastAsia="zh-CN" w:bidi="ar"/>
        </w:rPr>
      </w:pPr>
      <w:r>
        <w:rPr>
          <w:rFonts w:hint="eastAsia" w:ascii="楷体" w:hAnsi="楷体" w:eastAsia="楷体" w:cs="楷体"/>
          <w:color w:val="231F20"/>
          <w:kern w:val="0"/>
          <w:sz w:val="17"/>
          <w:szCs w:val="17"/>
          <w:lang w:val="en-US" w:eastAsia="zh-CN" w:bidi="ar"/>
        </w:rPr>
        <w:t>以财税政策应对租赁服务从某种程度上来讲，融资租赁工作其实具有一定的专业性，这主要是因为融资租赁行业的业务比较多样，每天需要面对不同的人群，且产品灵活多变，操作起来比较复杂，如果单单以法律规范来应对租赁服务，便极容易出现企业给出的租赁服务与租赁人或融资人需求不符的情况。因此，融资租赁行业在进行租赁服务时，应当根据相关的财税政策予以应对，性质不同或内容不同的租赁服务不可使用同一种财税政策应对，比如利用外资购入国内设备，以此获得增值税的抵扣，这种情况便可以用全部所得税或是租金抵扣的方式予以应对，但是利用内资购入国外设备，以获得增值税的情况便不可用上述方式予以解决，而是应当根据具体的财务政策与税务政策，再以实际情况选择恰当的解决方法。</w:t>
      </w:r>
    </w:p>
    <w:p>
      <w:pPr>
        <w:keepNext w:val="0"/>
        <w:keepLines w:val="0"/>
        <w:widowControl/>
        <w:numPr>
          <w:numId w:val="0"/>
        </w:numPr>
        <w:suppressLineNumbers w:val="0"/>
        <w:ind w:firstLine="352" w:firstLineChars="200"/>
        <w:jc w:val="left"/>
        <w:rPr>
          <w:rFonts w:hint="eastAsia" w:ascii="楷体" w:hAnsi="楷体" w:eastAsia="楷体" w:cs="楷体"/>
        </w:rPr>
      </w:pPr>
      <w:r>
        <w:rPr>
          <w:rFonts w:hint="eastAsia" w:ascii="楷体" w:hAnsi="楷体" w:eastAsia="楷体" w:cs="楷体"/>
          <w:color w:val="231F20"/>
          <w:kern w:val="0"/>
          <w:sz w:val="17"/>
          <w:szCs w:val="17"/>
          <w:lang w:val="en-US" w:eastAsia="zh-CN" w:bidi="ar"/>
        </w:rPr>
        <w:t>（四）加大融资人才的培训力度因融资租赁行业的业务具有多样性，这就说明从事融资租赁行业的工作人员需要具备多种知识，比如金融知识、融资知识、会计知识、财税知识，还需要具有一定的法律常识，否则融资租赁行业的专业性将无法得到保证。因此，为了适应金融的强监管背景，融资租赁行业应加大对融资人才的培训力度，聘请专业的融资人员进行行业培训，并定期组织工作人员参加业务培训，以此提高工作人员的专业素养与业务能力。另外，各融资租赁企业还可以提前招聘预备人才，企业可以去到各大高校进行人才招聘，尤其是加强对金融专业、会计专业学生的招聘力度，企业可以提前与学生签订储备人才合同，学生毕业后便可到该企业工作，为人才队伍的建设奠定一定基础。</w:t>
      </w:r>
    </w:p>
    <w:p>
      <w:pPr>
        <w:keepNext w:val="0"/>
        <w:keepLines w:val="0"/>
        <w:widowControl/>
        <w:suppressLineNumbers w:val="0"/>
        <w:ind w:firstLine="412" w:firstLineChars="200"/>
        <w:jc w:val="left"/>
        <w:rPr>
          <w:rFonts w:hint="eastAsia" w:ascii="楷体" w:hAnsi="楷体" w:eastAsia="楷体" w:cs="楷体"/>
        </w:rPr>
      </w:pPr>
      <w:r>
        <w:rPr>
          <w:rFonts w:hint="eastAsia" w:ascii="楷体" w:hAnsi="楷体" w:eastAsia="楷体" w:cs="楷体"/>
          <w:color w:val="231F20"/>
          <w:kern w:val="0"/>
          <w:sz w:val="20"/>
          <w:szCs w:val="20"/>
          <w:lang w:val="en-US" w:eastAsia="zh-CN" w:bidi="ar"/>
        </w:rPr>
        <w:t>结论</w:t>
      </w:r>
    </w:p>
    <w:p>
      <w:pPr>
        <w:keepNext w:val="0"/>
        <w:keepLines w:val="0"/>
        <w:widowControl/>
        <w:suppressLineNumbers w:val="0"/>
        <w:ind w:firstLine="352" w:firstLineChars="200"/>
        <w:jc w:val="left"/>
        <w:rPr>
          <w:rFonts w:hint="eastAsia" w:ascii="楷体" w:hAnsi="楷体" w:eastAsia="楷体" w:cs="楷体"/>
          <w:color w:val="231F20"/>
          <w:kern w:val="0"/>
          <w:sz w:val="17"/>
          <w:szCs w:val="17"/>
          <w:lang w:val="en-US" w:eastAsia="zh-CN" w:bidi="ar"/>
        </w:rPr>
      </w:pPr>
      <w:r>
        <w:rPr>
          <w:rFonts w:hint="eastAsia" w:ascii="楷体" w:hAnsi="楷体" w:eastAsia="楷体" w:cs="楷体"/>
          <w:color w:val="231F20"/>
          <w:kern w:val="0"/>
          <w:sz w:val="17"/>
          <w:szCs w:val="17"/>
          <w:lang w:val="en-US" w:eastAsia="zh-CN" w:bidi="ar"/>
        </w:rPr>
        <w:t>为了促进我国融资租赁行业的发展，本文将分析金融强监管背景下我国融资租赁行业的发展现状作为主要研究内容，在阐述融资租赁行业工作内容的基础上，对以法律完善行业规范、以财税政策应对租赁服务、拓宽租赁业务与融资渠道、加大融资人才的培训力度的发展策略做出系统探究，研究结果表明，我国融资租赁行业的发展现状具有如下特点：行业发展迅速、金融债券兴起、租赁公司势头强劲、租赁覆盖面不大。在未来，还需进一步加强对金融强监管背景下我国融资租赁行业发展现状的研究，进而确保我国融资租赁行业能在金融强监管背景下得到良好发展。</w:t>
      </w:r>
    </w:p>
    <w:p>
      <w:pPr>
        <w:keepNext w:val="0"/>
        <w:keepLines w:val="0"/>
        <w:widowControl/>
        <w:suppressLineNumbers w:val="0"/>
        <w:ind w:firstLine="352" w:firstLineChars="200"/>
        <w:jc w:val="left"/>
        <w:rPr>
          <w:rFonts w:hint="eastAsia" w:ascii="楷体" w:hAnsi="楷体" w:eastAsia="楷体" w:cs="楷体"/>
          <w:color w:val="231F20"/>
          <w:kern w:val="0"/>
          <w:sz w:val="17"/>
          <w:szCs w:val="17"/>
          <w:lang w:val="en-US" w:eastAsia="zh-CN" w:bidi="ar"/>
        </w:rPr>
      </w:pPr>
      <w:r>
        <w:rPr>
          <w:rFonts w:hint="eastAsia" w:ascii="楷体" w:hAnsi="楷体" w:eastAsia="楷体" w:cs="楷体"/>
          <w:color w:val="231F20"/>
          <w:kern w:val="0"/>
          <w:sz w:val="17"/>
          <w:szCs w:val="17"/>
          <w:lang w:val="en-US" w:eastAsia="zh-CN" w:bidi="ar"/>
        </w:rPr>
        <w:t>参考文献：</w:t>
      </w:r>
    </w:p>
    <w:p>
      <w:pPr>
        <w:keepNext w:val="0"/>
        <w:keepLines w:val="0"/>
        <w:widowControl/>
        <w:numPr>
          <w:ilvl w:val="0"/>
          <w:numId w:val="3"/>
        </w:numPr>
        <w:suppressLineNumbers w:val="0"/>
        <w:ind w:firstLine="352" w:firstLineChars="200"/>
        <w:jc w:val="left"/>
        <w:rPr>
          <w:rFonts w:hint="eastAsia" w:ascii="楷体" w:hAnsi="楷体" w:eastAsia="楷体" w:cs="楷体"/>
          <w:color w:val="231F20"/>
          <w:kern w:val="0"/>
          <w:sz w:val="17"/>
          <w:szCs w:val="17"/>
          <w:lang w:val="en-US" w:eastAsia="zh-CN" w:bidi="ar"/>
        </w:rPr>
      </w:pPr>
      <w:r>
        <w:rPr>
          <w:rFonts w:hint="eastAsia" w:ascii="楷体" w:hAnsi="楷体" w:eastAsia="楷体" w:cs="楷体"/>
          <w:color w:val="231F20"/>
          <w:kern w:val="0"/>
          <w:sz w:val="17"/>
          <w:szCs w:val="17"/>
          <w:lang w:val="en-US" w:eastAsia="zh-CN" w:bidi="ar"/>
        </w:rPr>
        <w:t>黄丽娟.</w:t>
      </w:r>
      <w:r>
        <w:rPr>
          <w:rFonts w:hint="eastAsia" w:ascii="楷体" w:hAnsi="楷体" w:eastAsia="楷体" w:cs="楷体"/>
          <w:color w:val="231F20"/>
          <w:kern w:val="0"/>
          <w:sz w:val="17"/>
          <w:szCs w:val="17"/>
          <w:lang w:val="en-US" w:eastAsia="zh-CN" w:bidi="ar"/>
        </w:rPr>
        <w:t>浅析我国融资租赁行业发展存在的问题及对策[J].</w:t>
      </w:r>
      <w:r>
        <w:rPr>
          <w:rFonts w:hint="eastAsia" w:ascii="楷体" w:hAnsi="楷体" w:eastAsia="楷体" w:cs="楷体"/>
          <w:color w:val="231F20"/>
          <w:kern w:val="0"/>
          <w:sz w:val="17"/>
          <w:szCs w:val="17"/>
          <w:lang w:val="en-US" w:eastAsia="zh-CN" w:bidi="ar"/>
        </w:rPr>
        <w:t>中国商论,2018(18):32-33.[2]</w:t>
      </w:r>
      <w:r>
        <w:rPr>
          <w:rFonts w:hint="eastAsia" w:ascii="楷体" w:hAnsi="楷体" w:eastAsia="楷体" w:cs="楷体"/>
          <w:color w:val="231F20"/>
          <w:kern w:val="0"/>
          <w:sz w:val="17"/>
          <w:szCs w:val="17"/>
          <w:lang w:val="en-US" w:eastAsia="zh-CN" w:bidi="ar"/>
        </w:rPr>
        <w:t>邵辉.</w:t>
      </w:r>
      <w:r>
        <w:rPr>
          <w:rFonts w:hint="eastAsia" w:ascii="楷体" w:hAnsi="楷体" w:eastAsia="楷体" w:cs="楷体"/>
          <w:color w:val="231F20"/>
          <w:kern w:val="0"/>
          <w:sz w:val="17"/>
          <w:szCs w:val="17"/>
          <w:lang w:val="en-US" w:eastAsia="zh-CN" w:bidi="ar"/>
        </w:rPr>
        <w:t>融资租赁公司的融资问题研究[J].</w:t>
      </w:r>
      <w:r>
        <w:rPr>
          <w:rFonts w:hint="eastAsia" w:ascii="楷体" w:hAnsi="楷体" w:eastAsia="楷体" w:cs="楷体"/>
          <w:color w:val="231F20"/>
          <w:kern w:val="0"/>
          <w:sz w:val="17"/>
          <w:szCs w:val="17"/>
          <w:lang w:val="en-US" w:eastAsia="zh-CN" w:bidi="ar"/>
        </w:rPr>
        <w:t>中国商论,2016(34):21-22.[3]</w:t>
      </w:r>
      <w:r>
        <w:rPr>
          <w:rFonts w:hint="eastAsia" w:ascii="楷体" w:hAnsi="楷体" w:eastAsia="楷体" w:cs="楷体"/>
          <w:color w:val="231F20"/>
          <w:kern w:val="0"/>
          <w:sz w:val="17"/>
          <w:szCs w:val="17"/>
          <w:lang w:val="en-US" w:eastAsia="zh-CN" w:bidi="ar"/>
        </w:rPr>
        <w:t>朱文莉,</w:t>
      </w:r>
      <w:r>
        <w:rPr>
          <w:rFonts w:hint="eastAsia" w:ascii="楷体" w:hAnsi="楷体" w:eastAsia="楷体" w:cs="楷体"/>
          <w:color w:val="231F20"/>
          <w:kern w:val="0"/>
          <w:sz w:val="17"/>
          <w:szCs w:val="17"/>
          <w:lang w:val="en-US" w:eastAsia="zh-CN" w:bidi="ar"/>
        </w:rPr>
        <w:t>王督.</w:t>
      </w:r>
      <w:r>
        <w:rPr>
          <w:rFonts w:hint="eastAsia" w:ascii="楷体" w:hAnsi="楷体" w:eastAsia="楷体" w:cs="楷体"/>
          <w:color w:val="231F20"/>
          <w:kern w:val="0"/>
          <w:sz w:val="17"/>
          <w:szCs w:val="17"/>
          <w:lang w:val="en-US" w:eastAsia="zh-CN" w:bidi="ar"/>
        </w:rPr>
        <w:t>我国融资租赁研究动态及展望[J].</w:t>
      </w:r>
      <w:r>
        <w:rPr>
          <w:rFonts w:hint="eastAsia" w:ascii="楷体" w:hAnsi="楷体" w:eastAsia="楷体" w:cs="楷体"/>
          <w:color w:val="231F20"/>
          <w:kern w:val="0"/>
          <w:sz w:val="17"/>
          <w:szCs w:val="17"/>
          <w:lang w:val="en-US" w:eastAsia="zh-CN" w:bidi="ar"/>
        </w:rPr>
        <w:t>会计之友,2017(21):28-31.[4]</w:t>
      </w:r>
      <w:r>
        <w:rPr>
          <w:rFonts w:hint="eastAsia" w:ascii="楷体" w:hAnsi="楷体" w:eastAsia="楷体" w:cs="楷体"/>
          <w:color w:val="231F20"/>
          <w:kern w:val="0"/>
          <w:sz w:val="17"/>
          <w:szCs w:val="17"/>
          <w:lang w:val="en-US" w:eastAsia="zh-CN" w:bidi="ar"/>
        </w:rPr>
        <w:t>赵靓.我国融资租赁业务发展前景研究[J].中国市场,2017(01):78.至2016年12月31日，中国已在全球140个国家和地区建立511所孔子学院和1073个中小学孔子课堂。以上数据表明我国汉语文化机构的全球覆盖率近50%，我国的文化已逐渐被世界各个国家和地区认可并学习，这些分布于全球各地的中国文化交流机构保证了中医药文化纯粹、顺利地流向世界。</w:t>
      </w:r>
    </w:p>
    <w:p>
      <w:pPr>
        <w:keepNext w:val="0"/>
        <w:keepLines w:val="0"/>
        <w:widowControl/>
        <w:numPr>
          <w:numId w:val="0"/>
        </w:numPr>
        <w:suppressLineNumbers w:val="0"/>
        <w:ind w:firstLine="412" w:firstLineChars="200"/>
        <w:jc w:val="left"/>
        <w:rPr>
          <w:rFonts w:hint="eastAsia" w:ascii="楷体" w:hAnsi="楷体" w:eastAsia="楷体" w:cs="楷体"/>
          <w:color w:val="231F20"/>
          <w:kern w:val="0"/>
          <w:sz w:val="17"/>
          <w:szCs w:val="17"/>
          <w:lang w:val="en-US" w:eastAsia="zh-CN" w:bidi="ar"/>
        </w:rPr>
      </w:pPr>
      <w:r>
        <w:rPr>
          <w:rFonts w:hint="eastAsia" w:ascii="楷体" w:hAnsi="楷体" w:eastAsia="楷体" w:cs="楷体"/>
          <w:color w:val="231F20"/>
          <w:kern w:val="0"/>
          <w:sz w:val="20"/>
          <w:szCs w:val="20"/>
          <w:lang w:val="en-US" w:eastAsia="zh-CN" w:bidi="ar"/>
        </w:rPr>
        <w:t>二、注重中医药典籍的外文翻译，保证文化传播的纯粹性</w:t>
      </w:r>
    </w:p>
    <w:p>
      <w:pPr>
        <w:keepNext w:val="0"/>
        <w:keepLines w:val="0"/>
        <w:widowControl/>
        <w:numPr>
          <w:numId w:val="0"/>
        </w:numPr>
        <w:suppressLineNumbers w:val="0"/>
        <w:ind w:firstLine="352" w:firstLineChars="200"/>
        <w:jc w:val="left"/>
        <w:rPr>
          <w:rFonts w:hint="eastAsia" w:ascii="楷体" w:hAnsi="楷体" w:eastAsia="楷体" w:cs="楷体"/>
          <w:color w:val="231F20"/>
          <w:kern w:val="0"/>
          <w:sz w:val="17"/>
          <w:szCs w:val="17"/>
          <w:lang w:val="en-US" w:eastAsia="zh-CN" w:bidi="ar"/>
        </w:rPr>
      </w:pPr>
      <w:r>
        <w:rPr>
          <w:rFonts w:hint="eastAsia" w:ascii="楷体" w:hAnsi="楷体" w:eastAsia="楷体" w:cs="楷体"/>
          <w:color w:val="231F20"/>
          <w:kern w:val="0"/>
          <w:sz w:val="17"/>
          <w:szCs w:val="17"/>
          <w:lang w:val="en-US" w:eastAsia="zh-CN" w:bidi="ar"/>
        </w:rPr>
        <w:t>书籍是中医文化代代精确传承的重要载体，也是中医药走向世界万家的重要传播体。尤其是中医药典籍，内容里蕴含着浓郁的中医药传统文化，包含抽象的自然哲学思想和古典文化理念，只有把现代翻译做到生动形象、准确无误，才能保证外文翻译工作精确无偏差。由于中医药这类书籍隐晦难懂，更是需要专业的外文翻译委员会负责专门的翻译、校对和出版工作，以保证中医药内容翻译的规范性、严谨性、准确到位、通俗易懂，便于交流。此外国家和政府需对外文翻译工作给予高度的重视，并严格要求每一名从事中华传统文化翻译的工作者，要以文化交流的目的进行翻译，既不偏离中医学专业性，又不缺乏文化内涵，并且易于理解，从而保证我国文化传播的纯粹性和广阔性。高质量的中医外文翻译不仅仅是准确传播文化的有效途径，还是帮助从未学习过中华文化的外国人轻松准确解读中医的得力助手。近年来中医药国际组织通过构建统一化的中医翻译标准，在中医药书籍外语翻译方面起到了不容小觑的积极作用。2007年12月28日，世界中医药学会联合会通过颁布《中医基本名词术语中英对照国际标准》，开展“中医基础理论术语英译国际标准研究”和“中医药英文翻译标准研究”等方面的工作，致力于推动中医药翻译的标准化建设。</w:t>
      </w:r>
    </w:p>
    <w:p>
      <w:pPr>
        <w:keepNext w:val="0"/>
        <w:keepLines w:val="0"/>
        <w:widowControl/>
        <w:numPr>
          <w:ilvl w:val="0"/>
          <w:numId w:val="4"/>
        </w:numPr>
        <w:suppressLineNumbers w:val="0"/>
        <w:ind w:firstLine="412" w:firstLineChars="200"/>
        <w:jc w:val="left"/>
        <w:rPr>
          <w:rFonts w:hint="eastAsia" w:ascii="楷体" w:hAnsi="楷体" w:eastAsia="楷体" w:cs="楷体"/>
          <w:color w:val="231F20"/>
          <w:kern w:val="0"/>
          <w:sz w:val="20"/>
          <w:szCs w:val="20"/>
          <w:lang w:val="en-US" w:eastAsia="zh-CN" w:bidi="ar"/>
        </w:rPr>
      </w:pPr>
      <w:r>
        <w:rPr>
          <w:rFonts w:hint="eastAsia" w:ascii="楷体" w:hAnsi="楷体" w:eastAsia="楷体" w:cs="楷体"/>
          <w:color w:val="231F20"/>
          <w:kern w:val="0"/>
          <w:sz w:val="20"/>
          <w:szCs w:val="20"/>
          <w:lang w:val="en-US" w:eastAsia="zh-CN" w:bidi="ar"/>
        </w:rPr>
        <w:t>坚持以教育和医疗成果为载体，扩大中医药的国际地位</w:t>
      </w:r>
    </w:p>
    <w:p>
      <w:pPr>
        <w:keepNext w:val="0"/>
        <w:keepLines w:val="0"/>
        <w:widowControl/>
        <w:numPr>
          <w:numId w:val="0"/>
        </w:numPr>
        <w:suppressLineNumbers w:val="0"/>
        <w:ind w:firstLine="352" w:firstLineChars="200"/>
        <w:jc w:val="left"/>
        <w:rPr>
          <w:rFonts w:hint="eastAsia" w:ascii="楷体" w:hAnsi="楷体" w:eastAsia="楷体" w:cs="楷体"/>
          <w:color w:val="231F20"/>
          <w:kern w:val="0"/>
          <w:sz w:val="17"/>
          <w:szCs w:val="17"/>
          <w:lang w:val="en-US" w:eastAsia="zh-CN" w:bidi="ar"/>
        </w:rPr>
      </w:pPr>
      <w:r>
        <w:rPr>
          <w:rFonts w:hint="eastAsia" w:ascii="楷体" w:hAnsi="楷体" w:eastAsia="楷体" w:cs="楷体"/>
          <w:color w:val="231F20"/>
          <w:kern w:val="0"/>
          <w:sz w:val="17"/>
          <w:szCs w:val="17"/>
          <w:lang w:val="en-US" w:eastAsia="zh-CN" w:bidi="ar"/>
        </w:rPr>
        <w:t>中医药作为我国独有的传统医学，其理论体系博大精深，晦涩难懂。要学好这门传统经验医学，就必须知晓一定量的中国传统文化。要宣传好这门经验医学，就必须用事实征服世界，用实际成果减轻海外人民的疑虑。</w:t>
      </w:r>
    </w:p>
    <w:p>
      <w:pPr>
        <w:keepNext w:val="0"/>
        <w:keepLines w:val="0"/>
        <w:widowControl/>
        <w:numPr>
          <w:ilvl w:val="0"/>
          <w:numId w:val="5"/>
        </w:numPr>
        <w:suppressLineNumbers w:val="0"/>
        <w:ind w:firstLine="352" w:firstLineChars="200"/>
        <w:jc w:val="left"/>
        <w:rPr>
          <w:rFonts w:hint="eastAsia" w:ascii="楷体" w:hAnsi="楷体" w:eastAsia="楷体" w:cs="楷体"/>
          <w:color w:val="231F20"/>
          <w:kern w:val="0"/>
          <w:sz w:val="17"/>
          <w:szCs w:val="17"/>
          <w:lang w:val="en-US" w:eastAsia="zh-CN" w:bidi="ar"/>
        </w:rPr>
      </w:pPr>
      <w:bookmarkStart w:id="0" w:name="_GoBack"/>
      <w:bookmarkEnd w:id="0"/>
      <w:r>
        <w:rPr>
          <w:rFonts w:hint="eastAsia" w:ascii="楷体" w:hAnsi="楷体" w:eastAsia="楷体" w:cs="楷体"/>
          <w:color w:val="231F20"/>
          <w:kern w:val="0"/>
          <w:sz w:val="17"/>
          <w:szCs w:val="17"/>
          <w:lang w:val="en-US" w:eastAsia="zh-CN" w:bidi="ar"/>
        </w:rPr>
        <w:t>扩增中医药院校留学生名额，开设中医文化课程中国是“中医药”的摇篮，不仅拥有得天独厚的中医药发展自然资源，还拥有浩大的人文历史资源。近年来随着中医药一次又一次在国际上亮相，并先后在一些疾病的救治中取得了其他医学所不可比拟的疗效，因此也得到了众多海外人士的推崇。如今中医在全球医学领域散发着独特的魅力，吸引着越来越多的国外学子来华学习真正的地道中医。中国中医药院校便成了向国际传播“中医药”的重要使者，要想将如此精深的中医治病理念和方法灌输到留学生的大脑里，中医文化学习是留学生研习中医过程中必不可少的一步。中医留学生是中医药的主动学习者、追求者和推广者，拥有全面、准确地向世界展示中医特色的能力，从而帮助消除文化屏障、语言障碍带来的传播失准和曲解的现象。据国家《中医药发展“十三五”规划》显示，中医药已传播到183个国家和地区，中国与外国政府、地区和国际组织已签订86项中医药合作协议，建设了10个海外中医药中心。其中有30多个国家和地区开办了数百所中医药院校，培养本土化中医药人才。每年约13000多名留学生来华学习中医药，约20万人次境外患者来华接受中医药服务。就世界卫生组织数据显示，中医药已在世界29个国家和地区获法律认可，18个国家和地区纳入医疗保险计划。以上成绩的获得足以充分证明，中医药凭借其自身的优势已逐渐赢得越来越多海外人民的认可、信赖和追捧。中医热浪潮在国际上已初步形成。在中医药专业成功招收外国留学生后，更重要的是如何把他们孕育成可与国医大师相媲美的中医大家。这才是对外教育的核心。目前来华求学中医药的国外学子日益增多，一系列问题也在教学过程中涌现出来。这一系列问题的根本原因就是不同地域的文化和语言差异造所就的理解困难。留学生从小接受的是西方文化，学习中医时必然是运用西方思维模式去解读中国医学著作。这不仅行不通还无形中加重了他们的求学负担。中医文化就是解读中医的钥匙。若在专业课学习过程中辅以中医药文化教育将有利于留学生搭建中医思维。唯有灵活的中医思维方可提升中医留学生的教学质量以及中医临床诊疗水平。</w:t>
      </w:r>
    </w:p>
    <w:p>
      <w:pPr>
        <w:keepNext w:val="0"/>
        <w:keepLines w:val="0"/>
        <w:widowControl/>
        <w:numPr>
          <w:ilvl w:val="0"/>
          <w:numId w:val="5"/>
        </w:numPr>
        <w:suppressLineNumbers w:val="0"/>
        <w:ind w:left="0" w:leftChars="0" w:firstLine="352" w:firstLineChars="200"/>
        <w:jc w:val="left"/>
        <w:rPr>
          <w:rFonts w:hint="eastAsia" w:ascii="楷体" w:hAnsi="楷体" w:eastAsia="楷体" w:cs="楷体"/>
          <w:color w:val="231F20"/>
          <w:kern w:val="0"/>
          <w:sz w:val="17"/>
          <w:szCs w:val="17"/>
          <w:lang w:val="en-US" w:eastAsia="zh-CN" w:bidi="ar"/>
        </w:rPr>
      </w:pPr>
      <w:r>
        <w:rPr>
          <w:rFonts w:hint="eastAsia" w:ascii="楷体" w:hAnsi="楷体" w:eastAsia="楷体" w:cs="楷体"/>
          <w:color w:val="231F20"/>
          <w:kern w:val="0"/>
          <w:sz w:val="17"/>
          <w:szCs w:val="17"/>
          <w:lang w:val="en-US" w:eastAsia="zh-CN" w:bidi="ar"/>
        </w:rPr>
        <w:t>宣传卓越的中医药医疗成就，获得中医国际认可习近平总书记曾以文明的视角评价道：“中医药学凝聚着深邃的哲学智慧和中华民族几千年的健康养生理念及其实践经验，是中国古代科学的瑰宝，也是打开中华文明宝库的钥匙。</w:t>
      </w:r>
    </w:p>
    <w:p>
      <w:pPr>
        <w:keepNext w:val="0"/>
        <w:keepLines w:val="0"/>
        <w:widowControl/>
        <w:numPr>
          <w:numId w:val="0"/>
        </w:numPr>
        <w:suppressLineNumbers w:val="0"/>
        <w:ind w:leftChars="0" w:firstLine="352" w:firstLineChars="200"/>
        <w:jc w:val="left"/>
        <w:rPr>
          <w:rFonts w:hint="eastAsia" w:ascii="楷体" w:hAnsi="楷体" w:eastAsia="楷体" w:cs="楷体"/>
          <w:color w:val="231F20"/>
          <w:kern w:val="0"/>
          <w:sz w:val="17"/>
          <w:szCs w:val="17"/>
          <w:lang w:val="en-US" w:eastAsia="zh-CN" w:bidi="ar"/>
        </w:rPr>
      </w:pPr>
      <w:r>
        <w:rPr>
          <w:rFonts w:hint="eastAsia" w:ascii="楷体" w:hAnsi="楷体" w:eastAsia="楷体" w:cs="楷体"/>
          <w:color w:val="231F20"/>
          <w:kern w:val="0"/>
          <w:sz w:val="17"/>
          <w:szCs w:val="17"/>
          <w:lang w:val="en-US" w:eastAsia="zh-CN" w:bidi="ar"/>
        </w:rPr>
        <w:t>习近平总书记对中医药的精辟阐述，使世界对中医药有了更高的崇敬，并把中医药置于中华文化的最重要位置上，表现出总书记心中强烈的中医文化自信。我国自信地向世界展示中医药成就，同时世界也在热情地回应和鼓励。2010年11月16日联合国教科文组织将“中医针灸”正式列入“人类非物质文化遗产代表作名录”。</w:t>
      </w:r>
    </w:p>
    <w:p>
      <w:pPr>
        <w:keepNext w:val="0"/>
        <w:keepLines w:val="0"/>
        <w:widowControl/>
        <w:numPr>
          <w:numId w:val="0"/>
        </w:numPr>
        <w:suppressLineNumbers w:val="0"/>
        <w:ind w:leftChars="0" w:firstLine="352" w:firstLineChars="200"/>
        <w:jc w:val="left"/>
        <w:rPr>
          <w:rFonts w:hint="eastAsia" w:ascii="楷体" w:hAnsi="楷体" w:eastAsia="楷体" w:cs="楷体"/>
          <w:color w:val="231F20"/>
          <w:kern w:val="0"/>
          <w:sz w:val="17"/>
          <w:szCs w:val="17"/>
          <w:lang w:val="en-US" w:eastAsia="zh-CN" w:bidi="ar"/>
        </w:rPr>
      </w:pPr>
      <w:r>
        <w:rPr>
          <w:rFonts w:hint="eastAsia" w:ascii="楷体" w:hAnsi="楷体" w:eastAsia="楷体" w:cs="楷体"/>
          <w:color w:val="231F20"/>
          <w:kern w:val="0"/>
          <w:sz w:val="17"/>
          <w:szCs w:val="17"/>
          <w:lang w:val="en-US" w:eastAsia="zh-CN" w:bidi="ar"/>
        </w:rPr>
        <w:t>2015年，屠呦呦成为中国首位获得诺贝尔奖的科学家。从中医典籍《肘后备急方》中挖掘出来的青蒿素，因其对疟原虫100%的杀死率，拯救了上亿名疟疾患者。</w:t>
      </w:r>
    </w:p>
    <w:p>
      <w:pPr>
        <w:keepNext w:val="0"/>
        <w:keepLines w:val="0"/>
        <w:widowControl/>
        <w:numPr>
          <w:numId w:val="0"/>
        </w:numPr>
        <w:suppressLineNumbers w:val="0"/>
        <w:ind w:leftChars="0" w:firstLine="352" w:firstLineChars="200"/>
        <w:jc w:val="left"/>
        <w:rPr>
          <w:rFonts w:hint="eastAsia" w:ascii="楷体" w:hAnsi="楷体" w:eastAsia="楷体" w:cs="楷体"/>
          <w:color w:val="231F20"/>
          <w:kern w:val="0"/>
          <w:sz w:val="17"/>
          <w:szCs w:val="17"/>
          <w:lang w:val="en-US" w:eastAsia="zh-CN" w:bidi="ar"/>
        </w:rPr>
      </w:pPr>
      <w:r>
        <w:rPr>
          <w:rFonts w:hint="eastAsia" w:ascii="楷体" w:hAnsi="楷体" w:eastAsia="楷体" w:cs="楷体"/>
          <w:color w:val="231F20"/>
          <w:kern w:val="0"/>
          <w:sz w:val="17"/>
          <w:szCs w:val="17"/>
          <w:lang w:val="en-US" w:eastAsia="zh-CN" w:bidi="ar"/>
        </w:rPr>
        <w:t>2016年里约奥运会，“飞鱼”菲尔普斯带着拔火罐留下的黑紫色印子在泳池里夺得金牌，他身上的中国元素再次让世界对中医疗效有了新的认识。2016年，江西中医药大学陈日新教授团队完成的“热敏灸技术”作为联合国向全世界推广的唯一一项原创中医技术已在全国27个省、市、自治区的500余家医院得到了广泛应用且取得了显著的临床诊疗效果。“热敏灸技术”更是走出国门，相继在葡萄牙、俄罗斯等国开办了21家热敏灸分院。</w:t>
      </w:r>
    </w:p>
    <w:p>
      <w:pPr>
        <w:keepNext w:val="0"/>
        <w:keepLines w:val="0"/>
        <w:widowControl/>
        <w:numPr>
          <w:numId w:val="0"/>
        </w:numPr>
        <w:suppressLineNumbers w:val="0"/>
        <w:ind w:leftChars="0" w:firstLine="352" w:firstLineChars="200"/>
        <w:jc w:val="left"/>
        <w:rPr>
          <w:rFonts w:hint="eastAsia" w:ascii="楷体" w:hAnsi="楷体" w:eastAsia="楷体" w:cs="楷体"/>
        </w:rPr>
      </w:pPr>
      <w:r>
        <w:rPr>
          <w:rFonts w:hint="eastAsia" w:ascii="楷体" w:hAnsi="楷体" w:eastAsia="楷体" w:cs="楷体"/>
          <w:color w:val="231F20"/>
          <w:kern w:val="0"/>
          <w:sz w:val="17"/>
          <w:szCs w:val="17"/>
          <w:lang w:val="en-US" w:eastAsia="zh-CN" w:bidi="ar"/>
        </w:rPr>
        <w:t>美国、日本、法国、澳大利亚、新西兰等多个国家的针灸医生也慕名来到江西热敏灸医院学习热敏灸技术。每一个中国与世界的中医药故事，都彰显了中医药的神奇。每一个中医药技术的世界好评，都是中医药文化的成功宣传的标志。凭借中医药的文化渗透、辉煌成就和卓越疗效让世界信服中医，崇尚中医，是提升中医药国际地位的重要途径。</w:t>
      </w:r>
    </w:p>
    <w:p>
      <w:pPr>
        <w:keepNext w:val="0"/>
        <w:keepLines w:val="0"/>
        <w:widowControl/>
        <w:suppressLineNumbers w:val="0"/>
        <w:jc w:val="left"/>
        <w:rPr>
          <w:rFonts w:hint="eastAsia" w:ascii="楷体" w:hAnsi="楷体" w:eastAsia="楷体" w:cs="楷体"/>
          <w:b/>
          <w:bCs/>
          <w:color w:val="231F20"/>
          <w:kern w:val="0"/>
          <w:sz w:val="17"/>
          <w:szCs w:val="17"/>
          <w:lang w:val="en-US" w:eastAsia="zh-CN" w:bidi="ar"/>
        </w:rPr>
      </w:pPr>
      <w:r>
        <w:rPr>
          <w:rFonts w:hint="eastAsia" w:ascii="楷体" w:hAnsi="楷体" w:eastAsia="楷体" w:cs="楷体"/>
          <w:b/>
          <w:bCs/>
          <w:color w:val="231F20"/>
          <w:kern w:val="0"/>
          <w:sz w:val="17"/>
          <w:szCs w:val="17"/>
          <w:lang w:val="en-US" w:eastAsia="zh-CN" w:bidi="ar"/>
        </w:rPr>
        <w:t>参考文献：</w:t>
      </w:r>
    </w:p>
    <w:p>
      <w:pPr>
        <w:keepNext w:val="0"/>
        <w:keepLines w:val="0"/>
        <w:widowControl/>
        <w:numPr>
          <w:ilvl w:val="0"/>
          <w:numId w:val="6"/>
        </w:numPr>
        <w:suppressLineNumbers w:val="0"/>
        <w:jc w:val="left"/>
        <w:rPr>
          <w:rFonts w:hint="eastAsia" w:ascii="楷体" w:hAnsi="楷体" w:eastAsia="楷体" w:cs="楷体"/>
          <w:color w:val="231F20"/>
          <w:kern w:val="0"/>
          <w:sz w:val="17"/>
          <w:szCs w:val="17"/>
          <w:lang w:val="en-US" w:eastAsia="zh-CN" w:bidi="ar"/>
        </w:rPr>
      </w:pPr>
      <w:r>
        <w:rPr>
          <w:rFonts w:hint="eastAsia" w:ascii="楷体" w:hAnsi="楷体" w:eastAsia="楷体" w:cs="楷体"/>
          <w:color w:val="231F20"/>
          <w:kern w:val="0"/>
          <w:sz w:val="17"/>
          <w:szCs w:val="17"/>
          <w:lang w:val="en-US" w:eastAsia="zh-CN" w:bidi="ar"/>
        </w:rPr>
        <w:t>潘淼,</w:t>
      </w:r>
      <w:r>
        <w:rPr>
          <w:rFonts w:hint="eastAsia" w:ascii="楷体" w:hAnsi="楷体" w:eastAsia="楷体" w:cs="楷体"/>
          <w:color w:val="231F20"/>
          <w:kern w:val="0"/>
          <w:sz w:val="17"/>
          <w:szCs w:val="17"/>
          <w:lang w:val="en-US" w:eastAsia="zh-CN" w:bidi="ar"/>
        </w:rPr>
        <w:t>李雪梅.</w:t>
      </w:r>
      <w:r>
        <w:rPr>
          <w:rFonts w:hint="eastAsia" w:ascii="楷体" w:hAnsi="楷体" w:eastAsia="楷体" w:cs="楷体"/>
          <w:color w:val="231F20"/>
          <w:kern w:val="0"/>
          <w:sz w:val="17"/>
          <w:szCs w:val="17"/>
          <w:lang w:val="en-US" w:eastAsia="zh-CN" w:bidi="ar"/>
        </w:rPr>
        <w:t>中医文化教育对中医药教育国际化的作用探讨[J].</w:t>
      </w:r>
      <w:r>
        <w:rPr>
          <w:rFonts w:hint="eastAsia" w:ascii="楷体" w:hAnsi="楷体" w:eastAsia="楷体" w:cs="楷体"/>
          <w:color w:val="231F20"/>
          <w:kern w:val="0"/>
          <w:sz w:val="17"/>
          <w:szCs w:val="17"/>
          <w:lang w:val="en-US" w:eastAsia="zh-CN" w:bidi="ar"/>
        </w:rPr>
        <w:t>教育观察(</w:t>
      </w:r>
      <w:r>
        <w:rPr>
          <w:rFonts w:hint="eastAsia" w:ascii="楷体" w:hAnsi="楷体" w:eastAsia="楷体" w:cs="楷体"/>
          <w:color w:val="231F20"/>
          <w:kern w:val="0"/>
          <w:sz w:val="17"/>
          <w:szCs w:val="17"/>
          <w:lang w:val="en-US" w:eastAsia="zh-CN" w:bidi="ar"/>
        </w:rPr>
        <w:t>上半月),2016(08):125-126.</w:t>
      </w:r>
    </w:p>
    <w:p>
      <w:pPr>
        <w:keepNext w:val="0"/>
        <w:keepLines w:val="0"/>
        <w:widowControl/>
        <w:numPr>
          <w:ilvl w:val="0"/>
          <w:numId w:val="6"/>
        </w:numPr>
        <w:suppressLineNumbers w:val="0"/>
        <w:ind w:left="0" w:leftChars="0" w:firstLine="0" w:firstLineChars="0"/>
        <w:jc w:val="left"/>
        <w:rPr>
          <w:rFonts w:hint="eastAsia" w:ascii="楷体" w:hAnsi="楷体" w:eastAsia="楷体" w:cs="楷体"/>
          <w:color w:val="231F20"/>
          <w:kern w:val="0"/>
          <w:sz w:val="17"/>
          <w:szCs w:val="17"/>
          <w:lang w:val="en-US" w:eastAsia="zh-CN" w:bidi="ar"/>
        </w:rPr>
      </w:pPr>
      <w:r>
        <w:rPr>
          <w:rFonts w:hint="eastAsia" w:ascii="楷体" w:hAnsi="楷体" w:eastAsia="楷体" w:cs="楷体"/>
          <w:color w:val="231F20"/>
          <w:kern w:val="0"/>
          <w:sz w:val="17"/>
          <w:szCs w:val="17"/>
          <w:lang w:val="en-US" w:eastAsia="zh-CN" w:bidi="ar"/>
        </w:rPr>
        <w:t>周勇.</w:t>
      </w:r>
      <w:r>
        <w:rPr>
          <w:rFonts w:hint="eastAsia" w:ascii="楷体" w:hAnsi="楷体" w:eastAsia="楷体" w:cs="楷体"/>
          <w:color w:val="231F20"/>
          <w:kern w:val="0"/>
          <w:sz w:val="17"/>
          <w:szCs w:val="17"/>
          <w:lang w:val="en-US" w:eastAsia="zh-CN" w:bidi="ar"/>
        </w:rPr>
        <w:t>中外大学合作建设孔子学院的利益分析[J].</w:t>
      </w:r>
      <w:r>
        <w:rPr>
          <w:rFonts w:hint="eastAsia" w:ascii="楷体" w:hAnsi="楷体" w:eastAsia="楷体" w:cs="楷体"/>
          <w:color w:val="231F20"/>
          <w:kern w:val="0"/>
          <w:sz w:val="17"/>
          <w:szCs w:val="17"/>
          <w:lang w:val="en-US" w:eastAsia="zh-CN" w:bidi="ar"/>
        </w:rPr>
        <w:t>国际汉语教育(</w:t>
      </w:r>
      <w:r>
        <w:rPr>
          <w:rFonts w:hint="eastAsia" w:ascii="楷体" w:hAnsi="楷体" w:eastAsia="楷体" w:cs="楷体"/>
          <w:color w:val="231F20"/>
          <w:kern w:val="0"/>
          <w:sz w:val="17"/>
          <w:szCs w:val="17"/>
          <w:lang w:val="en-US" w:eastAsia="zh-CN" w:bidi="ar"/>
        </w:rPr>
        <w:t>中英文),2017(03):16-20.</w:t>
      </w:r>
    </w:p>
    <w:p>
      <w:pPr>
        <w:keepNext w:val="0"/>
        <w:keepLines w:val="0"/>
        <w:widowControl/>
        <w:numPr>
          <w:numId w:val="0"/>
        </w:numPr>
        <w:suppressLineNumbers w:val="0"/>
        <w:ind w:leftChars="0"/>
        <w:jc w:val="left"/>
        <w:rPr>
          <w:rFonts w:hint="eastAsia" w:ascii="楷体" w:hAnsi="楷体" w:eastAsia="楷体" w:cs="楷体"/>
        </w:rPr>
      </w:pPr>
      <w:r>
        <w:rPr>
          <w:rFonts w:hint="eastAsia" w:ascii="楷体" w:hAnsi="楷体" w:eastAsia="楷体" w:cs="楷体"/>
          <w:color w:val="231F20"/>
          <w:kern w:val="0"/>
          <w:sz w:val="17"/>
          <w:szCs w:val="17"/>
          <w:lang w:val="en-US" w:eastAsia="zh-CN" w:bidi="ar"/>
        </w:rPr>
        <w:t>[3]</w:t>
      </w:r>
      <w:r>
        <w:rPr>
          <w:rFonts w:hint="eastAsia" w:ascii="楷体" w:hAnsi="楷体" w:eastAsia="楷体" w:cs="楷体"/>
          <w:color w:val="231F20"/>
          <w:kern w:val="0"/>
          <w:sz w:val="17"/>
          <w:szCs w:val="17"/>
          <w:lang w:val="en-US" w:eastAsia="zh-CN" w:bidi="ar"/>
        </w:rPr>
        <w:t>杨昌昕，钱坤，徐华，等.</w:t>
      </w:r>
      <w:r>
        <w:rPr>
          <w:rFonts w:hint="eastAsia" w:ascii="楷体" w:hAnsi="楷体" w:eastAsia="楷体" w:cs="楷体"/>
          <w:color w:val="231F20"/>
          <w:kern w:val="0"/>
          <w:sz w:val="17"/>
          <w:szCs w:val="17"/>
          <w:lang w:val="en-US" w:eastAsia="zh-CN" w:bidi="ar"/>
        </w:rPr>
        <w:t>高校中医药文化国际传播有效路径的探索与研究[J].</w:t>
      </w:r>
      <w:r>
        <w:rPr>
          <w:rFonts w:hint="eastAsia" w:ascii="楷体" w:hAnsi="楷体" w:eastAsia="楷体" w:cs="楷体"/>
          <w:color w:val="231F20"/>
          <w:kern w:val="0"/>
          <w:sz w:val="17"/>
          <w:szCs w:val="17"/>
          <w:lang w:val="en-US" w:eastAsia="zh-CN" w:bidi="ar"/>
        </w:rPr>
        <w:t>世界科学技术-</w:t>
      </w:r>
      <w:r>
        <w:rPr>
          <w:rFonts w:hint="eastAsia" w:ascii="楷体" w:hAnsi="楷体" w:eastAsia="楷体" w:cs="楷体"/>
          <w:color w:val="231F20"/>
          <w:kern w:val="0"/>
          <w:sz w:val="17"/>
          <w:szCs w:val="17"/>
          <w:lang w:val="en-US" w:eastAsia="zh-CN" w:bidi="ar"/>
        </w:rPr>
        <w:t>中医药现代化,2016(12):2194-2197.[4]</w:t>
      </w:r>
      <w:r>
        <w:rPr>
          <w:rFonts w:hint="eastAsia" w:ascii="楷体" w:hAnsi="楷体" w:eastAsia="楷体" w:cs="楷体"/>
          <w:color w:val="231F20"/>
          <w:kern w:val="0"/>
          <w:sz w:val="17"/>
          <w:szCs w:val="17"/>
          <w:lang w:val="en-US" w:eastAsia="zh-CN" w:bidi="ar"/>
        </w:rPr>
        <w:t>李哲.</w:t>
      </w:r>
      <w:r>
        <w:rPr>
          <w:rFonts w:hint="eastAsia" w:ascii="楷体" w:hAnsi="楷体" w:eastAsia="楷体" w:cs="楷体"/>
          <w:color w:val="231F20"/>
          <w:kern w:val="0"/>
          <w:sz w:val="17"/>
          <w:szCs w:val="17"/>
          <w:lang w:val="en-US" w:eastAsia="zh-CN" w:bidi="ar"/>
        </w:rPr>
        <w:t>中医药医疗合作成“一带一路”上靓丽的“名片”[J].</w:t>
      </w:r>
      <w:r>
        <w:rPr>
          <w:rFonts w:hint="eastAsia" w:ascii="楷体" w:hAnsi="楷体" w:eastAsia="楷体" w:cs="楷体"/>
          <w:color w:val="231F20"/>
          <w:kern w:val="0"/>
          <w:sz w:val="17"/>
          <w:szCs w:val="17"/>
          <w:lang w:val="en-US" w:eastAsia="zh-CN" w:bidi="ar"/>
        </w:rPr>
        <w:t>现代养生,2017(12):28-30.作者简介；胡景璇（1997.9-），女，内蒙古兴和县人，在读大学生，攻读中西医结合临床医学专业；孟晓伟（1987.7-），通讯作者，男，江西九江人，讲师，主要从事中医药政策管理研究。</w:t>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FZDHTJW--GB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ZHTJW--GB1-0">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FZKTJW--GB1-0">
    <w:altName w:val="Segoe Print"/>
    <w:panose1 w:val="00000000000000000000"/>
    <w:charset w:val="00"/>
    <w:family w:val="auto"/>
    <w:pitch w:val="default"/>
    <w:sig w:usb0="00000000" w:usb1="00000000" w:usb2="00000000" w:usb3="00000000" w:csb0="00000000" w:csb1="00000000"/>
  </w:font>
  <w:font w:name="FZXDXJW--GB1-0">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C945BA"/>
    <w:multiLevelType w:val="singleLevel"/>
    <w:tmpl w:val="8CC945BA"/>
    <w:lvl w:ilvl="0" w:tentative="0">
      <w:start w:val="1"/>
      <w:numFmt w:val="decimal"/>
      <w:lvlText w:val="%1."/>
      <w:lvlJc w:val="left"/>
      <w:pPr>
        <w:tabs>
          <w:tab w:val="left" w:pos="312"/>
        </w:tabs>
      </w:pPr>
    </w:lvl>
  </w:abstractNum>
  <w:abstractNum w:abstractNumId="1">
    <w:nsid w:val="B3AD4913"/>
    <w:multiLevelType w:val="singleLevel"/>
    <w:tmpl w:val="B3AD4913"/>
    <w:lvl w:ilvl="0" w:tentative="0">
      <w:start w:val="1"/>
      <w:numFmt w:val="decimal"/>
      <w:lvlText w:val="[%1]"/>
      <w:lvlJc w:val="left"/>
      <w:pPr>
        <w:tabs>
          <w:tab w:val="left" w:pos="312"/>
        </w:tabs>
      </w:pPr>
    </w:lvl>
  </w:abstractNum>
  <w:abstractNum w:abstractNumId="2">
    <w:nsid w:val="D5D21ADF"/>
    <w:multiLevelType w:val="singleLevel"/>
    <w:tmpl w:val="D5D21ADF"/>
    <w:lvl w:ilvl="0" w:tentative="0">
      <w:start w:val="1"/>
      <w:numFmt w:val="chineseCounting"/>
      <w:suff w:val="nothing"/>
      <w:lvlText w:val="%1、"/>
      <w:lvlJc w:val="left"/>
      <w:rPr>
        <w:rFonts w:hint="eastAsia"/>
      </w:rPr>
    </w:lvl>
  </w:abstractNum>
  <w:abstractNum w:abstractNumId="3">
    <w:nsid w:val="FEA6447A"/>
    <w:multiLevelType w:val="singleLevel"/>
    <w:tmpl w:val="FEA6447A"/>
    <w:lvl w:ilvl="0" w:tentative="0">
      <w:start w:val="3"/>
      <w:numFmt w:val="chineseCounting"/>
      <w:suff w:val="nothing"/>
      <w:lvlText w:val="（%1）"/>
      <w:lvlJc w:val="left"/>
      <w:rPr>
        <w:rFonts w:hint="eastAsia"/>
      </w:rPr>
    </w:lvl>
  </w:abstractNum>
  <w:abstractNum w:abstractNumId="4">
    <w:nsid w:val="3257F32F"/>
    <w:multiLevelType w:val="singleLevel"/>
    <w:tmpl w:val="3257F32F"/>
    <w:lvl w:ilvl="0" w:tentative="0">
      <w:start w:val="1"/>
      <w:numFmt w:val="decimal"/>
      <w:lvlText w:val="[%1]"/>
      <w:lvlJc w:val="left"/>
      <w:pPr>
        <w:tabs>
          <w:tab w:val="left" w:pos="312"/>
        </w:tabs>
      </w:pPr>
    </w:lvl>
  </w:abstractNum>
  <w:abstractNum w:abstractNumId="5">
    <w:nsid w:val="3EA72DD3"/>
    <w:multiLevelType w:val="singleLevel"/>
    <w:tmpl w:val="3EA72DD3"/>
    <w:lvl w:ilvl="0" w:tentative="0">
      <w:start w:val="3"/>
      <w:numFmt w:val="chineseCounting"/>
      <w:suff w:val="nothing"/>
      <w:lvlText w:val="%1、"/>
      <w:lvlJc w:val="left"/>
      <w:rPr>
        <w:rFonts w:hint="eastAsia"/>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D7753"/>
    <w:rsid w:val="422D7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2019-08-28T09:43:00Z</dcterms:created>
  <dc:creator>辉之恋</dc:creator>
  <cp:lastModifiedBy>辉之恋</cp:lastModifiedBy>
  <dcterms:modified xsi:type="dcterms:W3CDTF">2019-08-28T09:57:34Z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