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DLF-1-112-1673200275" w:hAnsi="DLF-1-112-1673200275" w:eastAsia="DLF-1-112-1673200275" w:cs="DLF-1-112-1673200275"/>
          <w:color w:val="ED028C"/>
          <w:kern w:val="0"/>
          <w:sz w:val="47"/>
          <w:szCs w:val="47"/>
          <w:lang w:val="en-US" w:eastAsia="zh-CN" w:bidi="ar"/>
        </w:rPr>
        <w:t>高职院校中医药文化旅游专业人才培养</w:t>
      </w:r>
      <w:bookmarkStart w:id="0" w:name="_GoBack"/>
      <w:bookmarkEnd w:id="0"/>
      <w:r>
        <w:rPr>
          <w:rFonts w:ascii="DLF-1-112-1673200275" w:hAnsi="DLF-1-112-1673200275" w:eastAsia="DLF-1-112-1673200275" w:cs="DLF-1-112-1673200275"/>
          <w:color w:val="ED028C"/>
          <w:kern w:val="0"/>
          <w:sz w:val="47"/>
          <w:szCs w:val="47"/>
          <w:lang w:val="en-US" w:eastAsia="zh-CN" w:bidi="ar"/>
        </w:rPr>
        <w:t>探索</w:t>
      </w:r>
    </w:p>
    <w:p>
      <w:pPr>
        <w:keepNext w:val="0"/>
        <w:keepLines w:val="0"/>
        <w:widowControl/>
        <w:suppressLineNumbers w:val="0"/>
        <w:jc w:val="center"/>
      </w:pPr>
      <w:r>
        <w:rPr>
          <w:rFonts w:ascii="DLF-1-138-718101198" w:hAnsi="DLF-1-138-718101198" w:eastAsia="DLF-1-138-718101198" w:cs="DLF-1-138-718101198"/>
          <w:color w:val="231F20"/>
          <w:kern w:val="0"/>
          <w:sz w:val="27"/>
          <w:szCs w:val="27"/>
          <w:lang w:val="en-US" w:eastAsia="zh-CN" w:bidi="ar"/>
        </w:rPr>
        <w:t>刘溪辰</w:t>
      </w:r>
    </w:p>
    <w:p>
      <w:pPr>
        <w:keepNext w:val="0"/>
        <w:keepLines w:val="0"/>
        <w:widowControl/>
        <w:suppressLineNumbers w:val="0"/>
        <w:jc w:val="center"/>
        <w:rPr>
          <w:rFonts w:hint="default" w:ascii="DLF-1-140-1811104632" w:hAnsi="DLF-1-140-1811104632" w:eastAsia="DLF-1-140-1811104632" w:cs="DLF-1-140-1811104632"/>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（辽阳职业技术学院， 辽宁 辽阳 111004）</w:t>
      </w:r>
    </w:p>
    <w:p>
      <w:pPr>
        <w:keepNext w:val="0"/>
        <w:keepLines w:val="0"/>
        <w:widowControl/>
        <w:suppressLineNumbers w:val="0"/>
        <w:jc w:val="left"/>
        <w:rPr>
          <w:rFonts w:hint="eastAsia" w:ascii="楷体" w:hAnsi="楷体" w:eastAsia="楷体" w:cs="楷体"/>
          <w:color w:val="231F20"/>
          <w:kern w:val="0"/>
          <w:sz w:val="20"/>
          <w:szCs w:val="20"/>
          <w:lang w:val="en-US" w:eastAsia="zh-CN" w:bidi="ar"/>
        </w:rPr>
      </w:pPr>
      <w:r>
        <w:rPr>
          <w:rFonts w:hint="eastAsia" w:ascii="楷体" w:hAnsi="楷体" w:eastAsia="楷体" w:cs="楷体"/>
          <w:color w:val="ED028C"/>
          <w:kern w:val="0"/>
          <w:sz w:val="20"/>
          <w:szCs w:val="20"/>
          <w:lang w:val="en-US" w:eastAsia="zh-CN" w:bidi="ar"/>
        </w:rPr>
        <w:t xml:space="preserve">摘 要： </w:t>
      </w:r>
      <w:r>
        <w:rPr>
          <w:rFonts w:hint="eastAsia" w:ascii="楷体" w:hAnsi="楷体" w:eastAsia="楷体" w:cs="楷体"/>
          <w:color w:val="231F20"/>
          <w:kern w:val="0"/>
          <w:sz w:val="20"/>
          <w:szCs w:val="20"/>
          <w:lang w:val="en-US" w:eastAsia="zh-CN" w:bidi="ar"/>
        </w:rPr>
        <w:t>中医药旅游作为中医药文化与旅游业融合发展的新兴载体， 以其巨大的市场规模和良好的发展 前景， 不断向高职院校人才培养提出新的人才定位和要求。 通过归纳中医药旅游的形式种类分 析了当前我国中医药旅游发展的现状和发展建议， 并有针对性地在高职院校旅游专业的专业定 位、 课程建设、 教学师资、 人才培养等方面提出了思考和可行化的建议， 以期为高职教育旅游 专业的发展建设提供创新思维和突破口。</w:t>
      </w:r>
    </w:p>
    <w:p>
      <w:pPr>
        <w:keepNext w:val="0"/>
        <w:keepLines w:val="0"/>
        <w:widowControl/>
        <w:suppressLineNumbers w:val="0"/>
        <w:jc w:val="left"/>
        <w:rPr>
          <w:rFonts w:hint="eastAsia" w:ascii="楷体" w:hAnsi="楷体" w:eastAsia="楷体" w:cs="楷体"/>
        </w:rPr>
      </w:pPr>
      <w:r>
        <w:rPr>
          <w:rFonts w:hint="eastAsia" w:ascii="楷体" w:hAnsi="楷体" w:eastAsia="楷体" w:cs="楷体"/>
          <w:color w:val="231F20"/>
          <w:kern w:val="0"/>
          <w:sz w:val="20"/>
          <w:szCs w:val="20"/>
          <w:lang w:val="en-US" w:eastAsia="zh-CN" w:bidi="ar"/>
        </w:rPr>
        <w:t xml:space="preserve"> </w:t>
      </w:r>
      <w:r>
        <w:rPr>
          <w:rFonts w:hint="eastAsia" w:ascii="楷体" w:hAnsi="楷体" w:eastAsia="楷体" w:cs="楷体"/>
          <w:color w:val="ED028C"/>
          <w:kern w:val="0"/>
          <w:sz w:val="20"/>
          <w:szCs w:val="20"/>
          <w:lang w:val="en-US" w:eastAsia="zh-CN" w:bidi="ar"/>
        </w:rPr>
        <w:t xml:space="preserve">关键词： </w:t>
      </w:r>
      <w:r>
        <w:rPr>
          <w:rFonts w:hint="eastAsia" w:ascii="楷体" w:hAnsi="楷体" w:eastAsia="楷体" w:cs="楷体"/>
          <w:color w:val="231F20"/>
          <w:kern w:val="0"/>
          <w:sz w:val="20"/>
          <w:szCs w:val="20"/>
          <w:lang w:val="en-US" w:eastAsia="zh-CN" w:bidi="ar"/>
        </w:rPr>
        <w:t xml:space="preserve">中医药； 文化旅游； 高职教育； 旅游专业； 人才培养 </w:t>
      </w:r>
    </w:p>
    <w:p>
      <w:pPr>
        <w:keepNext w:val="0"/>
        <w:keepLines w:val="0"/>
        <w:widowControl/>
        <w:suppressLineNumbers w:val="0"/>
        <w:jc w:val="left"/>
        <w:rPr>
          <w:rFonts w:hint="eastAsia" w:ascii="楷体" w:hAnsi="楷体" w:eastAsia="楷体" w:cs="楷体"/>
          <w:color w:val="231F20"/>
          <w:kern w:val="0"/>
          <w:sz w:val="20"/>
          <w:szCs w:val="20"/>
          <w:lang w:val="en-US" w:eastAsia="zh-CN" w:bidi="ar"/>
        </w:rPr>
      </w:pPr>
      <w:r>
        <w:rPr>
          <w:rFonts w:hint="eastAsia" w:ascii="楷体" w:hAnsi="楷体" w:eastAsia="楷体" w:cs="楷体"/>
          <w:color w:val="ED028C"/>
          <w:kern w:val="0"/>
          <w:sz w:val="20"/>
          <w:szCs w:val="20"/>
          <w:lang w:val="en-US" w:eastAsia="zh-CN" w:bidi="ar"/>
        </w:rPr>
        <w:t xml:space="preserve">中图分类号： </w:t>
      </w:r>
      <w:r>
        <w:rPr>
          <w:rFonts w:hint="eastAsia" w:ascii="楷体" w:hAnsi="楷体" w:eastAsia="楷体" w:cs="楷体"/>
          <w:color w:val="231F20"/>
          <w:kern w:val="0"/>
          <w:sz w:val="20"/>
          <w:szCs w:val="20"/>
          <w:lang w:val="en-US" w:eastAsia="zh-CN" w:bidi="ar"/>
        </w:rPr>
        <w:t xml:space="preserve">G715 </w:t>
      </w:r>
      <w:r>
        <w:rPr>
          <w:rFonts w:hint="eastAsia" w:ascii="楷体" w:hAnsi="楷体" w:eastAsia="楷体" w:cs="楷体"/>
          <w:color w:val="ED028C"/>
          <w:kern w:val="0"/>
          <w:sz w:val="20"/>
          <w:szCs w:val="20"/>
          <w:lang w:val="en-US" w:eastAsia="zh-CN" w:bidi="ar"/>
        </w:rPr>
        <w:t xml:space="preserve">文献标识码： </w:t>
      </w:r>
      <w:r>
        <w:rPr>
          <w:rFonts w:hint="eastAsia" w:ascii="楷体" w:hAnsi="楷体" w:eastAsia="楷体" w:cs="楷体"/>
          <w:color w:val="231F20"/>
          <w:kern w:val="0"/>
          <w:sz w:val="20"/>
          <w:szCs w:val="20"/>
          <w:lang w:val="en-US" w:eastAsia="zh-CN" w:bidi="ar"/>
        </w:rPr>
        <w:t xml:space="preserve">A </w:t>
      </w:r>
      <w:r>
        <w:rPr>
          <w:rFonts w:hint="eastAsia" w:ascii="楷体" w:hAnsi="楷体" w:eastAsia="楷体" w:cs="楷体"/>
          <w:color w:val="ED028C"/>
          <w:kern w:val="0"/>
          <w:sz w:val="20"/>
          <w:szCs w:val="20"/>
          <w:lang w:val="en-US" w:eastAsia="zh-CN" w:bidi="ar"/>
        </w:rPr>
        <w:t xml:space="preserve">文章编号： </w:t>
      </w:r>
      <w:r>
        <w:rPr>
          <w:rFonts w:hint="eastAsia" w:ascii="楷体" w:hAnsi="楷体" w:eastAsia="楷体" w:cs="楷体"/>
          <w:color w:val="231F20"/>
          <w:kern w:val="0"/>
          <w:sz w:val="20"/>
          <w:szCs w:val="20"/>
          <w:lang w:val="en-US" w:eastAsia="zh-CN" w:bidi="ar"/>
        </w:rPr>
        <w:t xml:space="preserve">1009—7600 （2019） 06—0109—04 </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中医药旅游是将传统中医药文化与旅游活动融合，使人们在基于中医药文化所设计的旅游产品中满足身体和精神上的健康需要。中医药科学讲究从整体概念上把握健康，强调人与自然的协调，突出“治未病”的调理机制，这些养生理念恰恰与目前大众所广泛认可的“慢生活”“释放游”等概念不谋而合。运用中医药科学中的理念、方法等与旅游产</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品设计相结合，发挥中医药科学优势，突出旅游中的养生保健作用，成为了生活、工作压力不断增大的大众广为关注的一种新型旅游发展模式。</w:t>
      </w:r>
    </w:p>
    <w:p>
      <w:pPr>
        <w:keepNext w:val="0"/>
        <w:keepLines w:val="0"/>
        <w:widowControl/>
        <w:suppressLineNumbers w:val="0"/>
        <w:ind w:firstLine="236" w:firstLineChars="200"/>
        <w:jc w:val="left"/>
        <w:rPr>
          <w:rFonts w:hint="eastAsia" w:ascii="楷体" w:hAnsi="楷体" w:eastAsia="楷体" w:cs="楷体"/>
        </w:rPr>
      </w:pPr>
      <w:r>
        <w:rPr>
          <w:rFonts w:hint="eastAsia" w:ascii="楷体" w:hAnsi="楷体" w:eastAsia="楷体" w:cs="楷体"/>
          <w:color w:val="231F20"/>
          <w:kern w:val="0"/>
          <w:sz w:val="11"/>
          <w:szCs w:val="11"/>
          <w:lang w:val="en-US" w:eastAsia="zh-CN" w:bidi="ar"/>
        </w:rPr>
        <w:t>[1]</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2013年以来，国务院办公厅多部委相继发布大力推进我国中医药旅游业发展的各项通知意见，中医药旅游正以其科学的理念、全新的形式成为了旅游业内的领跑者。然而，我国的中医药旅游在快速</w:t>
      </w:r>
    </w:p>
    <w:p>
      <w:pPr>
        <w:keepNext w:val="0"/>
        <w:keepLines w:val="0"/>
        <w:widowControl/>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发展和迅速扩张的同时也面临着人才缺乏的困窘局面。本文结合当前我国中医药旅游发展的现状，提出对高职院校在专业发展和人才培养方面的思考与建议，旨在更好地服务我国中医药旅游事业发展。</w:t>
      </w:r>
    </w:p>
    <w:p>
      <w:pPr>
        <w:keepNext w:val="0"/>
        <w:keepLines w:val="0"/>
        <w:widowControl/>
        <w:numPr>
          <w:ilvl w:val="0"/>
          <w:numId w:val="1"/>
        </w:numPr>
        <w:suppressLineNumbers w:val="0"/>
        <w:ind w:left="105" w:leftChars="0" w:firstLine="420" w:firstLineChars="200"/>
        <w:jc w:val="left"/>
        <w:rPr>
          <w:rFonts w:hint="eastAsia" w:ascii="楷体" w:hAnsi="楷体" w:eastAsia="楷体" w:cs="楷体"/>
          <w:color w:val="ED028C"/>
          <w:kern w:val="0"/>
          <w:sz w:val="21"/>
          <w:szCs w:val="21"/>
          <w:lang w:val="en-US" w:eastAsia="zh-CN" w:bidi="ar"/>
        </w:rPr>
      </w:pPr>
      <w:r>
        <w:rPr>
          <w:rFonts w:hint="eastAsia" w:ascii="楷体" w:hAnsi="楷体" w:eastAsia="楷体" w:cs="楷体"/>
          <w:color w:val="ED028C"/>
          <w:kern w:val="0"/>
          <w:sz w:val="21"/>
          <w:szCs w:val="21"/>
          <w:lang w:val="en-US" w:eastAsia="zh-CN" w:bidi="ar"/>
        </w:rPr>
        <w:t>我国中医药旅游事业的发展</w:t>
      </w:r>
    </w:p>
    <w:p>
      <w:pPr>
        <w:keepNext w:val="0"/>
        <w:keepLines w:val="0"/>
        <w:widowControl/>
        <w:numPr>
          <w:ilvl w:val="0"/>
          <w:numId w:val="2"/>
        </w:numPr>
        <w:suppressLineNumbers w:val="0"/>
        <w:ind w:left="105" w:leftChars="0"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发展中医药旅游的意义中医药文化在我国已经有千年的历史与传承，大力开展中医药文化旅游的推广对促进区域社会发展具有十分重要的作用和意义。</w:t>
      </w:r>
    </w:p>
    <w:p>
      <w:pPr>
        <w:keepNext w:val="0"/>
        <w:keepLines w:val="0"/>
        <w:widowControl/>
        <w:numPr>
          <w:ilvl w:val="0"/>
          <w:numId w:val="3"/>
        </w:numPr>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弘扬和传播中医药文化大力发展中医药旅游活动有利于借助旅游这一广泛参与的媒介宣传和传播我国悠久的中医药科学和文化，从积极的角度和正规的渠道引导公众正视我国的中医药文化。同时挖掘更多的优秀中医药文化资源，吸引更多的社会资本参与到中医药旅游资源开发、利用和保护中。随着我国在国际上的地位不断提高，以中医药科学为代表的中华文化也逐渐被世界所熟知和认可，中医药科学的交流和传播在很大程度上促进了我国与世界的相互融合。</w:t>
      </w:r>
    </w:p>
    <w:p>
      <w:pPr>
        <w:keepNext w:val="0"/>
        <w:keepLines w:val="0"/>
        <w:widowControl/>
        <w:numPr>
          <w:numId w:val="0"/>
        </w:numPr>
        <w:suppressLineNumbers w:val="0"/>
        <w:ind w:firstLine="420" w:firstLineChars="200"/>
        <w:jc w:val="left"/>
        <w:rPr>
          <w:rFonts w:hint="eastAsia" w:ascii="楷体" w:hAnsi="楷体" w:eastAsia="楷体" w:cs="楷体"/>
          <w:color w:val="231F20"/>
          <w:kern w:val="0"/>
          <w:sz w:val="11"/>
          <w:szCs w:val="11"/>
          <w:lang w:val="en-US" w:eastAsia="zh-CN" w:bidi="ar"/>
        </w:rPr>
      </w:pPr>
      <w:r>
        <w:rPr>
          <w:rFonts w:hint="eastAsia" w:ascii="楷体" w:hAnsi="楷体" w:eastAsia="楷体" w:cs="楷体"/>
          <w:color w:val="231F20"/>
          <w:kern w:val="0"/>
          <w:sz w:val="21"/>
          <w:szCs w:val="21"/>
          <w:lang w:val="en-US" w:eastAsia="zh-CN" w:bidi="ar"/>
        </w:rPr>
        <w:t>2．普及公共健康知识理念推动中医药旅游活动的快速发展，有助于在更加广泛的层面推广和传播公众健康生活的意识和理念，营造健康良好的中医药医学知识氛围，帮助大众树立科学的养生观，建立良好的生活行为模式，从而提高整个社会的健康意识和健康水平。3．推动区域经济发展有条件的省份借助中医药产业这一载体，依托我国丰富的中药物产资源和文化底蕴，通过旅游业的庞大客流和基于中医药产品的消费活动来拉动区域经济的快速发展。在此过程中，中医药旅游产业带动中草药种植、旅游服务接待、中草药产品销售、中医理疗诊治等多行业共同发展，也能够在一定程度上解决当地的就业问题。</w:t>
      </w:r>
    </w:p>
    <w:p>
      <w:pPr>
        <w:keepNext w:val="0"/>
        <w:keepLines w:val="0"/>
        <w:widowControl/>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二）中医药旅游发展中的制约因中医药旅游目前在我国已经进入了全面发展的阶段，国家也多措并举推出很多利好政策，但由于种种因素的制约使得当前的中医药旅游市场发展成效不尽如人意，民众对其也始终抱有观望的态度，我国中医药文化旅游资源并没有得到很好的开发和利用。</w:t>
      </w:r>
    </w:p>
    <w:p>
      <w:pPr>
        <w:keepNext w:val="0"/>
        <w:keepLines w:val="0"/>
        <w:widowControl/>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1．缺乏系统研究和规划目前我国虽然已经加大对中医药旅游的重视力度，但大部分地区对中医药旅游的认知仅仅停留在对广阔未来的美好愿景上，还缺乏系统的可供实际参考的体系研究，各项资源未能进行有机的整合，对基于各地区自身条件和优势的中医药旅游发展缺乏调研，也没有形成明确的思路。</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2．形式单一，医旅融合流于形式虽然我国的中医药文化源远流长，旅游资源更是种类繁多，但许多地区的中医药旅游形式单一，内容浮于表面，医旅融合不够深入，仅以药材种植观赏、参观游玩、保健品销售等作为主要形式，而未曾触及我国中医药文化的更高层次的科学理论和更深层次的文化内涵，进而形成中医药文化旅游的产业链，达到弘扬、创新和传承的目的。在建设上规模小、水平低，在硬件设施和软件内含上都存在着很大的不足。游客参与度低，缺乏真正的文化交融，重形式而轻内涵，难以深入人心。</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3．缺乏专业人才中医药旅游作为一种新型的旅游形式具有很强的专业限制和特殊性，它既涵盖了旅游业相关知识，同时更加需要掌握中医药领域的专业知识，乃至基本的养老护理知识的专业人才。然而目前在我国能够熟练掌握这几项知识技能的复合型人才还相对较少，行业面临着人才匮乏难题。同时，由于缺乏健全的监管体系，从业人员的资质和行为也缺乏相应的约束，这对中医药旅游的发展也起到了制约作用。因此，加强对中医药旅游复合型人才的培养力度，鼓励中医药院校和中、高职院校针对市场需求调整办学定位和办学目标，拓宽专业教育领域，将旅游专业的设计、管理、营销等综合技能与中医药科学传统知识有机结合，培养中医药和旅游专业的应用型、技能型人才，成为了发展中医药旅游事业最根本的途径和解决办法。</w:t>
      </w:r>
    </w:p>
    <w:p>
      <w:pPr>
        <w:keepNext w:val="0"/>
        <w:keepLines w:val="0"/>
        <w:widowControl/>
        <w:suppressLineNumbers w:val="0"/>
        <w:ind w:firstLine="420" w:firstLineChars="200"/>
        <w:jc w:val="left"/>
        <w:rPr>
          <w:rFonts w:hint="eastAsia" w:ascii="楷体" w:hAnsi="楷体" w:eastAsia="楷体" w:cs="楷体"/>
          <w:color w:val="ED028C"/>
          <w:kern w:val="0"/>
          <w:sz w:val="21"/>
          <w:szCs w:val="21"/>
          <w:lang w:val="en-US" w:eastAsia="zh-CN" w:bidi="ar"/>
        </w:rPr>
      </w:pPr>
      <w:r>
        <w:rPr>
          <w:rFonts w:hint="eastAsia" w:ascii="楷体" w:hAnsi="楷体" w:eastAsia="楷体" w:cs="楷体"/>
          <w:color w:val="ED028C"/>
          <w:kern w:val="0"/>
          <w:sz w:val="21"/>
          <w:szCs w:val="21"/>
          <w:lang w:val="en-US" w:eastAsia="zh-CN" w:bidi="ar"/>
        </w:rPr>
        <w:t>二、中医药文化人才培养现状</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上世纪八十年代以来，我国的中医药科学在学科体系方面逐步建设完成，并形成了围绕中医药科学内涵的文化研究。我国各地高校对中医药人才的培养主要集中在本科以及博士、硕士点的基础上，旨在加强学科专门领域人才的深度。而在中医药文化得到大众广泛认可和关注的今天，中医药文化依</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然存在着与大众生活节奏理念结合不紧密、创新创造性持续发力不足、中医药文化公众惠民产品不够丰富、传播手段相对不足，传播速度迟缓的问题。如何将中医药科学更加的“普惠”化，如何将中医药学科与其他学科更有机地进行结合，以培养能适应时代需求的“兼能”型人才还没有得到相关的研究和重视。</w:t>
      </w:r>
    </w:p>
    <w:p>
      <w:pPr>
        <w:keepNext w:val="0"/>
        <w:keepLines w:val="0"/>
        <w:widowControl/>
        <w:suppressLineNumbers w:val="0"/>
        <w:ind w:firstLine="236" w:firstLineChars="200"/>
        <w:jc w:val="left"/>
        <w:rPr>
          <w:rFonts w:hint="eastAsia" w:ascii="楷体" w:hAnsi="楷体" w:eastAsia="楷体" w:cs="楷体"/>
        </w:rPr>
      </w:pPr>
      <w:r>
        <w:rPr>
          <w:rFonts w:hint="eastAsia" w:ascii="楷体" w:hAnsi="楷体" w:eastAsia="楷体" w:cs="楷体"/>
          <w:color w:val="231F20"/>
          <w:kern w:val="0"/>
          <w:sz w:val="11"/>
          <w:szCs w:val="11"/>
          <w:lang w:val="en-US" w:eastAsia="zh-CN" w:bidi="ar"/>
        </w:rPr>
        <w:t>[5]</w:t>
      </w:r>
      <w:r>
        <w:rPr>
          <w:rFonts w:hint="eastAsia" w:ascii="楷体" w:hAnsi="楷体" w:eastAsia="楷体" w:cs="楷体"/>
          <w:color w:val="231F20"/>
          <w:kern w:val="0"/>
          <w:sz w:val="21"/>
          <w:szCs w:val="21"/>
          <w:lang w:val="en-US" w:eastAsia="zh-CN" w:bidi="ar"/>
        </w:rPr>
        <w:t>中医药旅游产品的出现和兴起以其新颖的形式和广泛的群众参与度为中医药文化产业带来了全新的发展方向和广阔的前景。中医药文化旅游人才的培养不仅充实了旅游学科的人才建设，更是服务于整个中医药文化的发展和发扬。</w:t>
      </w:r>
    </w:p>
    <w:p>
      <w:pPr>
        <w:keepNext w:val="0"/>
        <w:keepLines w:val="0"/>
        <w:widowControl/>
        <w:suppressLineNumbers w:val="0"/>
        <w:ind w:firstLine="420" w:firstLineChars="200"/>
        <w:jc w:val="left"/>
        <w:rPr>
          <w:rFonts w:hint="eastAsia" w:ascii="楷体" w:hAnsi="楷体" w:eastAsia="楷体" w:cs="楷体"/>
          <w:color w:val="ED028C"/>
          <w:kern w:val="0"/>
          <w:sz w:val="21"/>
          <w:szCs w:val="21"/>
          <w:lang w:val="en-US" w:eastAsia="zh-CN" w:bidi="ar"/>
        </w:rPr>
      </w:pPr>
      <w:r>
        <w:rPr>
          <w:rFonts w:hint="eastAsia" w:ascii="楷体" w:hAnsi="楷体" w:eastAsia="楷体" w:cs="楷体"/>
          <w:color w:val="ED028C"/>
          <w:kern w:val="0"/>
          <w:sz w:val="21"/>
          <w:szCs w:val="21"/>
          <w:lang w:val="en-US" w:eastAsia="zh-CN" w:bidi="ar"/>
        </w:rPr>
        <w:t>三、高职中医药旅游专业人才培养原则</w:t>
      </w:r>
    </w:p>
    <w:p>
      <w:pPr>
        <w:keepNext w:val="0"/>
        <w:keepLines w:val="0"/>
        <w:widowControl/>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中医药旅游是基于传统中医药学文化而形成的以旅游活动为载体的复合型创新型旅游产品，因此在设计上，要充分展现中医药传统科学厚重的文化底蕴和健康旅游活动的根本吸引力，使二者更为有机的融合，构建独具中国传统文化特色的精品旅游产品。而这就对从业人员的综合能力和实力有了更高的要求，在专业性、技能性、复合性和应用性上有别于普通的旅游从业者。在人才培养上应遵循以下原则。</w:t>
      </w:r>
    </w:p>
    <w:p>
      <w:pPr>
        <w:keepNext w:val="0"/>
        <w:keepLines w:val="0"/>
        <w:widowControl/>
        <w:numPr>
          <w:ilvl w:val="0"/>
          <w:numId w:val="4"/>
        </w:numPr>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前瞻性原则中医药旅游作为新兴的旅游形式，其人才培养应该具备长远的发展目光和宏观的战略高度，要借鉴医药旅游模式相对成熟国家的相关经验，站在科学的最前沿来培养高端化和精细化技能的专业人才。</w:t>
      </w:r>
    </w:p>
    <w:p>
      <w:pPr>
        <w:keepNext w:val="0"/>
        <w:keepLines w:val="0"/>
        <w:widowControl/>
        <w:numPr>
          <w:ilvl w:val="0"/>
          <w:numId w:val="4"/>
        </w:numPr>
        <w:suppressLineNumbers w:val="0"/>
        <w:ind w:left="0" w:leftChars="0"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特色性原则始终突出中医药旅游与传统旅游服务有机融合的特色，使培养的专业人才既具备旅游行业知识，又以专业的中医药科学知识而从行业中脱颖而出，在教育教学中突出重点，以施展专业培养的个性。</w:t>
      </w:r>
    </w:p>
    <w:p>
      <w:pPr>
        <w:keepNext w:val="0"/>
        <w:keepLines w:val="0"/>
        <w:widowControl/>
        <w:numPr>
          <w:numId w:val="0"/>
        </w:numPr>
        <w:suppressLineNumbers w:val="0"/>
        <w:ind w:leftChars="0"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（三）动态化原则不断汲取中医药科学的新理论、新技术、新成果，不断充实和完善学科建设和人才培养模式，保持知识体系的不断充实和对学术学科的严谨态度。</w:t>
      </w:r>
    </w:p>
    <w:p>
      <w:pPr>
        <w:keepNext w:val="0"/>
        <w:keepLines w:val="0"/>
        <w:widowControl/>
        <w:suppressLineNumbers w:val="0"/>
        <w:ind w:firstLine="420" w:firstLineChars="200"/>
        <w:jc w:val="left"/>
        <w:rPr>
          <w:rFonts w:hint="eastAsia" w:ascii="楷体" w:hAnsi="楷体" w:eastAsia="楷体" w:cs="楷体"/>
          <w:color w:val="ED028C"/>
          <w:kern w:val="0"/>
          <w:sz w:val="21"/>
          <w:szCs w:val="21"/>
          <w:lang w:val="en-US" w:eastAsia="zh-CN" w:bidi="ar"/>
        </w:rPr>
      </w:pPr>
      <w:r>
        <w:rPr>
          <w:rFonts w:hint="eastAsia" w:ascii="楷体" w:hAnsi="楷体" w:eastAsia="楷体" w:cs="楷体"/>
          <w:color w:val="ED028C"/>
          <w:kern w:val="0"/>
          <w:sz w:val="21"/>
          <w:szCs w:val="21"/>
          <w:lang w:val="en-US" w:eastAsia="zh-CN" w:bidi="ar"/>
        </w:rPr>
        <w:t>四、高职中医药旅游专业人才培养方向</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（一）明确专业发展定位高职院校旅游专业应树立培养中医药健康旅游专业人才的宏观目标，并基于此建立融合中医药科学、文化、旅游服务的校企共建的系统科学的中医</w:t>
      </w:r>
    </w:p>
    <w:p>
      <w:pPr>
        <w:keepNext w:val="0"/>
        <w:keepLines w:val="0"/>
        <w:widowControl/>
        <w:suppressLineNumbers w:val="0"/>
        <w:ind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药旅游人才培养体系。以中医药保健治疗旅游为基础，辅以融合开发具有地方特色的文化节庆旅游活动。参观游览传统中医药文化元素、举办中医药知识学术交流等多项旅游活动，根据市场特征和需求有针对性地切入，培养以就业为导向的、适应现阶段我国中医药旅游事业发展的、具备综合素质和良好职业道德品质的综合服务型人才。在课程设置上兼修旅游、医养、管理、人文、经济等多个领域的基础和专业课程，并注重实操技能的培养，发挥高职教育的优势，培养技能型、服务型人才。</w:t>
      </w:r>
    </w:p>
    <w:p>
      <w:pPr>
        <w:keepNext w:val="0"/>
        <w:keepLines w:val="0"/>
        <w:widowControl/>
        <w:numPr>
          <w:numId w:val="0"/>
        </w:numPr>
        <w:suppressLineNumbers w:val="0"/>
        <w:ind w:leftChars="0"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二）探索合作教学模式中医药旅游正处于摸索上升的阶段，对于高职院校中医药旅游人才培养模式的探索也应当跟随业态的变化不断探索、寻找适合的途径，最终走向成熟。对于专业性和实用性较强的中医药旅游，在专业发展的初期培育阶段，应通过广泛地与相关企业、专家交流合作，咨询调研，熟悉市场现状，掌握核心需求。建立校企双方参与共建的教学指导和人才培养指导委员会，在课程设置、教材编写、技能考核、实习实训等方面深入探讨、加强合作，使教学真正做到“校企结合、理实结合”。</w:t>
      </w:r>
    </w:p>
    <w:p>
      <w:pPr>
        <w:keepNext w:val="0"/>
        <w:keepLines w:val="0"/>
        <w:widowControl/>
        <w:numPr>
          <w:numId w:val="0"/>
        </w:numPr>
        <w:suppressLineNumbers w:val="0"/>
        <w:ind w:leftChars="0"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（三）组建双师型师资队伍中医药旅游以其专业性、跨界性和复合性决定其课程构建设计必须体现旅游和中医药的“融合+应用”</w:t>
      </w:r>
      <w:r>
        <w:rPr>
          <w:rFonts w:hint="eastAsia" w:ascii="楷体" w:hAnsi="楷体" w:eastAsia="楷体" w:cs="楷体"/>
          <w:color w:val="231F20"/>
          <w:kern w:val="0"/>
          <w:sz w:val="11"/>
          <w:szCs w:val="11"/>
          <w:lang w:val="en-US" w:eastAsia="zh-CN" w:bidi="ar"/>
        </w:rPr>
        <w:t>[8]</w:t>
      </w:r>
      <w:r>
        <w:rPr>
          <w:rFonts w:hint="eastAsia" w:ascii="楷体" w:hAnsi="楷体" w:eastAsia="楷体" w:cs="楷体"/>
          <w:color w:val="231F20"/>
          <w:kern w:val="0"/>
          <w:sz w:val="21"/>
          <w:szCs w:val="21"/>
          <w:lang w:val="en-US" w:eastAsia="zh-CN" w:bidi="ar"/>
        </w:rPr>
        <w:t>，而这种“融合+应用”则对教师队伍的能力和素质有着更高的要求。因此，具备双师资格是中医药旅游教学中对于教师最基本的要求。高职院校建设双师型教师队伍，通过专业型教师对旅游服务和中医药学知识的教学而达到“融合”，通过技能型教师将知识内容转化成实际的工作过程来实现“应用”。同时，校企共建的教学指导委员会对师资队伍建设进行整体的规划和监督，另外还可以引进具备专业技能的企业兼职教师，与高校教师相互学习渗透融合，建立起具备教学、实操技能的专业型师资队伍。</w:t>
      </w:r>
    </w:p>
    <w:p>
      <w:pPr>
        <w:keepNext w:val="0"/>
        <w:keepLines w:val="0"/>
        <w:widowControl/>
        <w:numPr>
          <w:numId w:val="0"/>
        </w:numPr>
        <w:suppressLineNumbers w:val="0"/>
        <w:ind w:leftChars="0" w:firstLine="420" w:firstLineChars="20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四）创建校内实训基地为适应中医药旅游的专业型和岗位能力的特殊性，在校外实训基地的基础上，高职院校应充分利用校内自身各项资源，建立与课程内容相匹配的实训基地。例如，与化工专业合作建立中药膳食实训室，与老年服务管理专业合作建立中医养生保健技能实训室、与体育运动专业合作建立运动康复实训室等，充分培养专业技能，满足实践需要。</w:t>
      </w:r>
    </w:p>
    <w:p>
      <w:pPr>
        <w:keepNext w:val="0"/>
        <w:keepLines w:val="0"/>
        <w:widowControl/>
        <w:numPr>
          <w:numId w:val="0"/>
        </w:numPr>
        <w:suppressLineNumbers w:val="0"/>
        <w:ind w:leftChars="0"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五）树立专业“复合型”观念由于专业知识跨学科的特殊性质，使学生在学习时容易产生对专业的不理解、不认同，以及归属感的缺失。因此，中医药旅游专业在人才培养上应当注重对学生专业认知和“复合型”观念的引导。通过对我国中医药旅游事业的发展现状引导学生加强专业认同感，内化职业使命感，提升职业道德感，通过“职业锚”</w:t>
      </w:r>
    </w:p>
    <w:p>
      <w:pPr>
        <w:keepNext w:val="0"/>
        <w:keepLines w:val="0"/>
        <w:widowControl/>
        <w:suppressLineNumbers w:val="0"/>
        <w:ind w:firstLine="236" w:firstLineChars="200"/>
        <w:jc w:val="left"/>
        <w:rPr>
          <w:rFonts w:hint="eastAsia" w:ascii="楷体" w:hAnsi="楷体" w:eastAsia="楷体" w:cs="楷体"/>
          <w:color w:val="231F20"/>
          <w:kern w:val="0"/>
          <w:sz w:val="11"/>
          <w:szCs w:val="11"/>
          <w:lang w:val="en-US" w:eastAsia="zh-CN" w:bidi="ar"/>
        </w:rPr>
      </w:pPr>
      <w:r>
        <w:rPr>
          <w:rFonts w:hint="eastAsia" w:ascii="楷体" w:hAnsi="楷体" w:eastAsia="楷体" w:cs="楷体"/>
          <w:color w:val="231F20"/>
          <w:kern w:val="0"/>
          <w:sz w:val="11"/>
          <w:szCs w:val="11"/>
          <w:lang w:val="en-US" w:eastAsia="zh-CN" w:bidi="ar"/>
        </w:rPr>
        <w:t>[9]</w:t>
      </w:r>
      <w:r>
        <w:rPr>
          <w:rFonts w:hint="eastAsia" w:ascii="楷体" w:hAnsi="楷体" w:eastAsia="楷体" w:cs="楷体"/>
          <w:color w:val="231F20"/>
          <w:kern w:val="0"/>
          <w:sz w:val="21"/>
          <w:szCs w:val="21"/>
          <w:lang w:val="en-US" w:eastAsia="zh-CN" w:bidi="ar"/>
        </w:rPr>
        <w:t>理论培养学生正确的人生态度、价值观、工作动机和需要，以培养良好的职业素养。</w:t>
      </w:r>
    </w:p>
    <w:p>
      <w:pPr>
        <w:keepNext w:val="0"/>
        <w:keepLines w:val="0"/>
        <w:widowControl/>
        <w:suppressLineNumbers w:val="0"/>
        <w:ind w:firstLine="420" w:firstLineChars="20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六）培养学生创业理想和技能在当前中医药旅游快速发展浪潮之下，将以培养技能型实用性人才为目标的高职院校应紧跟“大众创业，万众创新”的时代潮流，大力培养高职学生创业意愿和理想，鼓励学生将知识转化为实践，将技能转化为生产力，成为发挥中医药旅游事业发扬光大的主力军。高校应利用自身的社会影响力和品牌效应，积极与企业交流共建，为学生提供创业平台和支持指导，使中医药旅游活动在整个旅游市场运转中起到重要的推动作用，并不断良性循环。</w:t>
      </w:r>
    </w:p>
    <w:p>
      <w:pPr>
        <w:keepNext w:val="0"/>
        <w:keepLines w:val="0"/>
        <w:widowControl/>
        <w:suppressLineNumbers w:val="0"/>
        <w:ind w:firstLine="236" w:firstLineChars="200"/>
        <w:jc w:val="left"/>
        <w:rPr>
          <w:rFonts w:hint="eastAsia" w:ascii="楷体" w:hAnsi="楷体" w:eastAsia="楷体" w:cs="楷体"/>
        </w:rPr>
      </w:pPr>
      <w:r>
        <w:rPr>
          <w:rFonts w:hint="eastAsia" w:ascii="楷体" w:hAnsi="楷体" w:eastAsia="楷体" w:cs="楷体"/>
          <w:color w:val="231F20"/>
          <w:kern w:val="0"/>
          <w:sz w:val="11"/>
          <w:szCs w:val="11"/>
          <w:lang w:val="en-US" w:eastAsia="zh-CN" w:bidi="ar"/>
        </w:rPr>
        <w:t>[11]</w:t>
      </w:r>
      <w:r>
        <w:rPr>
          <w:rFonts w:hint="eastAsia" w:ascii="楷体" w:hAnsi="楷体" w:eastAsia="楷体" w:cs="楷体"/>
          <w:color w:val="231F20"/>
          <w:kern w:val="0"/>
          <w:sz w:val="21"/>
          <w:szCs w:val="21"/>
          <w:lang w:val="en-US" w:eastAsia="zh-CN" w:bidi="ar"/>
        </w:rPr>
        <w:t>中医药旅游产业作为一个新兴的产业在我国刚刚起步并逐步受到广泛的关注与认可，它不仅满足了大众的健康养生需求，同时对弘扬和传承我国悠久的中医药文化起到了重要作用，具有巨大的未来发展上升空间。中医药旅游事业的发展离不开高素质、高技能的专业人才的保障。高职院校旅游专业要开拓局面借势而行，明确办学目标、夯实办学基础、树立办学优势，提升专业人才的综合质量，开拓旅游专业发展新局面，为我国中医药旅游业的快速蓬勃发展提供坚实的人才基础和保障。</w:t>
      </w:r>
    </w:p>
    <w:p>
      <w:pPr>
        <w:keepNext w:val="0"/>
        <w:keepLines w:val="0"/>
        <w:widowControl/>
        <w:suppressLineNumbers w:val="0"/>
        <w:jc w:val="left"/>
        <w:rPr>
          <w:rFonts w:hint="eastAsia" w:ascii="楷体" w:hAnsi="楷体" w:eastAsia="楷体" w:cs="楷体"/>
          <w:color w:val="ED028C"/>
          <w:kern w:val="0"/>
          <w:sz w:val="21"/>
          <w:szCs w:val="21"/>
          <w:lang w:val="en-US" w:eastAsia="zh-CN" w:bidi="ar"/>
        </w:rPr>
      </w:pPr>
      <w:r>
        <w:rPr>
          <w:rFonts w:hint="eastAsia" w:ascii="楷体" w:hAnsi="楷体" w:eastAsia="楷体" w:cs="楷体"/>
          <w:color w:val="ED028C"/>
          <w:kern w:val="0"/>
          <w:sz w:val="21"/>
          <w:szCs w:val="21"/>
          <w:lang w:val="en-US" w:eastAsia="zh-CN" w:bidi="ar"/>
        </w:rPr>
        <w:t>参考文献：</w:t>
      </w:r>
    </w:p>
    <w:p>
      <w:pPr>
        <w:keepNext w:val="0"/>
        <w:keepLines w:val="0"/>
        <w:widowControl/>
        <w:numPr>
          <w:ilvl w:val="0"/>
          <w:numId w:val="5"/>
        </w:numPr>
        <w:suppressLineNumbers w:val="0"/>
        <w:ind w:left="105" w:leftChars="0" w:firstLine="0" w:firstLineChars="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汪淑敏.全养生视阈下中医药健康旅游发展路径研 究[J].四川旅游学院学报,2018(6):47-50. </w:t>
      </w:r>
    </w:p>
    <w:p>
      <w:pPr>
        <w:keepNext w:val="0"/>
        <w:keepLines w:val="0"/>
        <w:widowControl/>
        <w:numPr>
          <w:numId w:val="0"/>
        </w:numPr>
        <w:suppressLineNumbers w:val="0"/>
        <w:ind w:left="105" w:leftChars="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 xml:space="preserve">[2]杜洪娟.推进中医药健康旅游的思考[J].荆楚学术, </w:t>
      </w:r>
    </w:p>
    <w:p>
      <w:pPr>
        <w:keepNext w:val="0"/>
        <w:keepLines w:val="0"/>
        <w:widowControl/>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2018(4):71-73. </w:t>
      </w:r>
    </w:p>
    <w:p>
      <w:pPr>
        <w:keepNext w:val="0"/>
        <w:keepLines w:val="0"/>
        <w:widowControl/>
        <w:numPr>
          <w:numId w:val="0"/>
        </w:numPr>
        <w:suppressLineNumbers w:val="0"/>
        <w:ind w:left="105" w:leftChars="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[3]江惺俊,孙健炜.中医药文化旅游发展策略[J].市场 研究,2018(1):25-26. </w:t>
      </w:r>
    </w:p>
    <w:p>
      <w:pPr>
        <w:keepNext w:val="0"/>
        <w:keepLines w:val="0"/>
        <w:widowControl/>
        <w:numPr>
          <w:numId w:val="0"/>
        </w:numPr>
        <w:suppressLineNumbers w:val="0"/>
        <w:ind w:left="105" w:leftChars="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[4]黄凯,俞双燕,孙汉,等.我国中医药健康旅游发展研 究综述[J].世界中医药,2018(2):508-512. </w:t>
      </w:r>
    </w:p>
    <w:p>
      <w:pPr>
        <w:keepNext w:val="0"/>
        <w:keepLines w:val="0"/>
        <w:widowControl/>
        <w:numPr>
          <w:numId w:val="0"/>
        </w:numPr>
        <w:suppressLineNumbers w:val="0"/>
        <w:ind w:left="105" w:leftChars="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 xml:space="preserve">[5]张振祥,贾朋社,任慧琴,等.增设中医学专业的必要 性论证分析:以三亚学院为例[J].产业与科技论坛, </w:t>
      </w:r>
    </w:p>
    <w:p>
      <w:pPr>
        <w:keepNext w:val="0"/>
        <w:keepLines w:val="0"/>
        <w:widowControl/>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2017(15):162-164. </w:t>
      </w:r>
    </w:p>
    <w:p>
      <w:pPr>
        <w:keepNext w:val="0"/>
        <w:keepLines w:val="0"/>
        <w:widowControl/>
        <w:numPr>
          <w:ilvl w:val="0"/>
          <w:numId w:val="6"/>
        </w:numPr>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熊益亮,段晓华,张其成.中医药文化人才培养的问 题与路径探讨[J].中医药文化,2018(1):87-90. </w:t>
      </w:r>
    </w:p>
    <w:p>
      <w:pPr>
        <w:keepNext w:val="0"/>
        <w:keepLines w:val="0"/>
        <w:widowControl/>
        <w:numPr>
          <w:numId w:val="0"/>
        </w:numPr>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[7]沙莎.“中医药康养旅游定制式管家” 人才培养模 式研究[J].教育观察(上半月),2017(17):90-92. </w:t>
      </w:r>
    </w:p>
    <w:p>
      <w:pPr>
        <w:keepNext w:val="0"/>
        <w:keepLines w:val="0"/>
        <w:widowControl/>
        <w:numPr>
          <w:numId w:val="0"/>
        </w:numPr>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[8]马波,杨荣斌,邓沂.中医药健康旅游专业人才培养 探索与实践[J].四川旅游学院学报,2019(1):97-100. </w:t>
      </w:r>
    </w:p>
    <w:p>
      <w:pPr>
        <w:keepNext w:val="0"/>
        <w:keepLines w:val="0"/>
        <w:widowControl/>
        <w:numPr>
          <w:numId w:val="0"/>
        </w:numPr>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[9]埃德加·施恩.职业锚:发现你的真正价值[M].北森 测评网,译.北京:中国财政经济出版社,2004:20． </w:t>
      </w:r>
    </w:p>
    <w:p>
      <w:pPr>
        <w:keepNext w:val="0"/>
        <w:keepLines w:val="0"/>
        <w:widowControl/>
        <w:numPr>
          <w:numId w:val="0"/>
        </w:numPr>
        <w:suppressLineNumbers w:val="0"/>
        <w:jc w:val="left"/>
        <w:rPr>
          <w:rFonts w:hint="eastAsia" w:ascii="楷体" w:hAnsi="楷体" w:eastAsia="楷体" w:cs="楷体"/>
          <w:color w:val="231F20"/>
          <w:kern w:val="0"/>
          <w:sz w:val="21"/>
          <w:szCs w:val="21"/>
          <w:lang w:val="en-US" w:eastAsia="zh-CN" w:bidi="ar"/>
        </w:rPr>
      </w:pPr>
      <w:r>
        <w:rPr>
          <w:rFonts w:hint="eastAsia" w:ascii="楷体" w:hAnsi="楷体" w:eastAsia="楷体" w:cs="楷体"/>
          <w:color w:val="231F20"/>
          <w:kern w:val="0"/>
          <w:sz w:val="21"/>
          <w:szCs w:val="21"/>
          <w:lang w:val="en-US" w:eastAsia="zh-CN" w:bidi="ar"/>
        </w:rPr>
        <w:t xml:space="preserve">[10]叶姣云,唐冲.基于中医药文化传承的中医药院校 大学生思想政治教育的思考[J].广西中医药大学学 报,2014(s1):83-85． </w:t>
      </w:r>
    </w:p>
    <w:p>
      <w:pPr>
        <w:keepNext w:val="0"/>
        <w:keepLines w:val="0"/>
        <w:widowControl/>
        <w:numPr>
          <w:numId w:val="0"/>
        </w:numPr>
        <w:suppressLineNumbers w:val="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 xml:space="preserve">[11]周磊,侯胜田,黄炜.中医药院校学生在中医医疗旅 游创业中的优势分析及建议[J].中国社会医学杂志, </w:t>
      </w:r>
    </w:p>
    <w:p>
      <w:pPr>
        <w:keepNext w:val="0"/>
        <w:keepLines w:val="0"/>
        <w:widowControl/>
        <w:suppressLineNumbers w:val="0"/>
        <w:jc w:val="left"/>
        <w:rPr>
          <w:rFonts w:hint="eastAsia" w:ascii="楷体" w:hAnsi="楷体" w:eastAsia="楷体" w:cs="楷体"/>
        </w:rPr>
      </w:pPr>
      <w:r>
        <w:rPr>
          <w:rFonts w:hint="eastAsia" w:ascii="楷体" w:hAnsi="楷体" w:eastAsia="楷体" w:cs="楷体"/>
          <w:color w:val="231F20"/>
          <w:kern w:val="0"/>
          <w:sz w:val="21"/>
          <w:szCs w:val="21"/>
          <w:lang w:val="en-US" w:eastAsia="zh-CN" w:bidi="ar"/>
        </w:rPr>
        <w:t xml:space="preserve">2018(2):130-132. [责任编辑， 抚顺职院： 于英霞] </w:t>
      </w:r>
    </w:p>
    <w:p>
      <w:pPr>
        <w:keepNext w:val="0"/>
        <w:keepLines w:val="0"/>
        <w:widowControl/>
        <w:suppressLineNumbers w:val="0"/>
        <w:jc w:val="left"/>
      </w:pPr>
      <w:r>
        <w:rPr>
          <w:rFonts w:hint="default" w:ascii="DLF-1-190-721238343" w:hAnsi="DLF-1-190-721238343" w:eastAsia="DLF-1-190-721238343" w:cs="DLF-1-190-721238343"/>
          <w:color w:val="231F20"/>
          <w:kern w:val="0"/>
          <w:sz w:val="21"/>
          <w:szCs w:val="21"/>
          <w:lang w:val="en-US" w:eastAsia="zh-CN" w:bidi="ar"/>
        </w:rPr>
        <w:t xml:space="preserve"> </w:t>
      </w:r>
    </w:p>
    <w:p>
      <w:pPr>
        <w:keepNext w:val="0"/>
        <w:keepLines w:val="0"/>
        <w:widowControl/>
        <w:suppressLineNumbers w:val="0"/>
        <w:jc w:val="left"/>
      </w:pPr>
      <w:r>
        <w:rPr>
          <w:rFonts w:hint="default" w:ascii="DLF-1-190-176693638" w:hAnsi="DLF-1-190-176693638" w:eastAsia="DLF-1-190-176693638" w:cs="DLF-1-190-176693638"/>
          <w:color w:val="231F20"/>
          <w:kern w:val="0"/>
          <w:sz w:val="21"/>
          <w:szCs w:val="21"/>
          <w:lang w:val="en-US" w:eastAsia="zh-CN" w:bidi="ar"/>
        </w:rPr>
        <w:t xml:space="preserve"> </w:t>
      </w:r>
    </w:p>
    <w:p>
      <w:pPr>
        <w:keepNext w:val="0"/>
        <w:keepLines w:val="0"/>
        <w:widowControl/>
        <w:suppressLineNumbers w:val="0"/>
        <w:jc w:val="left"/>
      </w:pPr>
      <w:r>
        <w:rPr>
          <w:rFonts w:hint="default" w:ascii="DLF-1-190-575226435" w:hAnsi="DLF-1-190-575226435" w:eastAsia="DLF-1-190-575226435" w:cs="DLF-1-190-575226435"/>
          <w:color w:val="231F20"/>
          <w:kern w:val="0"/>
          <w:sz w:val="21"/>
          <w:szCs w:val="21"/>
          <w:lang w:val="en-US" w:eastAsia="zh-CN" w:bidi="ar"/>
        </w:rPr>
        <w:t xml:space="preserve"> </w:t>
      </w:r>
    </w:p>
    <w:p>
      <w:pPr>
        <w:keepNext w:val="0"/>
        <w:keepLines w:val="0"/>
        <w:widowControl/>
        <w:suppressLineNumbers w:val="0"/>
        <w:jc w:val="left"/>
        <w:rPr>
          <w:rFonts w:hint="default" w:ascii="DLF-0-329-280563575" w:hAnsi="DLF-0-329-280563575" w:eastAsia="DLF-0-329-280563575" w:cs="DLF-0-329-280563575"/>
          <w:color w:val="231F20"/>
          <w:kern w:val="0"/>
          <w:sz w:val="20"/>
          <w:szCs w:val="20"/>
          <w:lang w:val="en-US" w:eastAsia="zh-CN" w:bidi="ar"/>
        </w:rPr>
      </w:pPr>
    </w:p>
    <w:p>
      <w:pPr>
        <w:keepNext w:val="0"/>
        <w:keepLines w:val="0"/>
        <w:widowControl/>
        <w:suppressLineNumbers w:val="0"/>
        <w:jc w:val="center"/>
        <w:rPr>
          <w:rFonts w:hint="default" w:ascii="DLF-1-140-1811104632" w:hAnsi="DLF-1-140-1811104632" w:eastAsia="DLF-1-140-1811104632" w:cs="DLF-1-140-1811104632"/>
          <w:color w:val="231F20"/>
          <w:kern w:val="0"/>
          <w:sz w:val="21"/>
          <w:szCs w:val="21"/>
          <w:lang w:val="en-US" w:eastAsia="zh-CN" w:bidi="ar"/>
        </w:rPr>
      </w:pPr>
    </w:p>
    <w:p>
      <w:pPr>
        <w:keepNext w:val="0"/>
        <w:keepLines w:val="0"/>
        <w:widowControl/>
        <w:suppressLineNumbers w:val="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ZDX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LF-1-112-1673200275">
    <w:altName w:val="Segoe Print"/>
    <w:panose1 w:val="00000000000000000000"/>
    <w:charset w:val="00"/>
    <w:family w:val="auto"/>
    <w:pitch w:val="default"/>
    <w:sig w:usb0="00000000" w:usb1="00000000" w:usb2="00000000" w:usb3="00000000" w:csb0="00000000" w:csb1="00000000"/>
  </w:font>
  <w:font w:name="DLF-1-138-718101198">
    <w:altName w:val="Segoe Print"/>
    <w:panose1 w:val="00000000000000000000"/>
    <w:charset w:val="00"/>
    <w:family w:val="auto"/>
    <w:pitch w:val="default"/>
    <w:sig w:usb0="00000000" w:usb1="00000000" w:usb2="00000000" w:usb3="00000000" w:csb0="00000000" w:csb1="00000000"/>
  </w:font>
  <w:font w:name="DLF-1-140-1811104632">
    <w:altName w:val="Segoe Print"/>
    <w:panose1 w:val="00000000000000000000"/>
    <w:charset w:val="00"/>
    <w:family w:val="auto"/>
    <w:pitch w:val="default"/>
    <w:sig w:usb0="00000000" w:usb1="00000000" w:usb2="00000000" w:usb3="00000000" w:csb0="00000000" w:csb1="00000000"/>
  </w:font>
  <w:font w:name="DLF-0-329-280563575">
    <w:altName w:val="Segoe Print"/>
    <w:panose1 w:val="00000000000000000000"/>
    <w:charset w:val="00"/>
    <w:family w:val="auto"/>
    <w:pitch w:val="default"/>
    <w:sig w:usb0="00000000" w:usb1="00000000" w:usb2="00000000" w:usb3="00000000" w:csb0="00000000" w:csb1="00000000"/>
  </w:font>
  <w:font w:name="DLF-1-123-1751385577">
    <w:altName w:val="Segoe Print"/>
    <w:panose1 w:val="00000000000000000000"/>
    <w:charset w:val="00"/>
    <w:family w:val="auto"/>
    <w:pitch w:val="default"/>
    <w:sig w:usb0="00000000" w:usb1="00000000" w:usb2="00000000" w:usb3="00000000" w:csb0="00000000" w:csb1="00000000"/>
  </w:font>
  <w:font w:name="DLF-1-190-2045540338">
    <w:altName w:val="Segoe Print"/>
    <w:panose1 w:val="00000000000000000000"/>
    <w:charset w:val="00"/>
    <w:family w:val="auto"/>
    <w:pitch w:val="default"/>
    <w:sig w:usb0="00000000" w:usb1="00000000" w:usb2="00000000" w:usb3="00000000" w:csb0="00000000" w:csb1="00000000"/>
  </w:font>
  <w:font w:name="DLF-1-190-575226435">
    <w:altName w:val="Segoe Print"/>
    <w:panose1 w:val="00000000000000000000"/>
    <w:charset w:val="00"/>
    <w:family w:val="auto"/>
    <w:pitch w:val="default"/>
    <w:sig w:usb0="00000000" w:usb1="00000000" w:usb2="00000000" w:usb3="00000000" w:csb0="00000000" w:csb1="00000000"/>
  </w:font>
  <w:font w:name="DLF-1-123-1976441416">
    <w:altName w:val="Segoe Print"/>
    <w:panose1 w:val="00000000000000000000"/>
    <w:charset w:val="00"/>
    <w:family w:val="auto"/>
    <w:pitch w:val="default"/>
    <w:sig w:usb0="00000000" w:usb1="00000000" w:usb2="00000000" w:usb3="00000000" w:csb0="00000000" w:csb1="00000000"/>
  </w:font>
  <w:font w:name="DLF-1-151-1811365858">
    <w:altName w:val="Segoe Print"/>
    <w:panose1 w:val="00000000000000000000"/>
    <w:charset w:val="00"/>
    <w:family w:val="auto"/>
    <w:pitch w:val="default"/>
    <w:sig w:usb0="00000000" w:usb1="00000000" w:usb2="00000000" w:usb3="00000000" w:csb0="00000000" w:csb1="00000000"/>
  </w:font>
  <w:font w:name="DLF-0-329-1194919259">
    <w:altName w:val="Segoe Print"/>
    <w:panose1 w:val="00000000000000000000"/>
    <w:charset w:val="00"/>
    <w:family w:val="auto"/>
    <w:pitch w:val="default"/>
    <w:sig w:usb0="00000000" w:usb1="00000000" w:usb2="00000000" w:usb3="00000000" w:csb0="00000000" w:csb1="00000000"/>
  </w:font>
  <w:font w:name="DLF-1-138-1983015654">
    <w:altName w:val="Segoe Print"/>
    <w:panose1 w:val="00000000000000000000"/>
    <w:charset w:val="00"/>
    <w:family w:val="auto"/>
    <w:pitch w:val="default"/>
    <w:sig w:usb0="00000000" w:usb1="00000000" w:usb2="00000000" w:usb3="00000000" w:csb0="00000000" w:csb1="00000000"/>
  </w:font>
  <w:font w:name="DLF-1-190-475228641">
    <w:altName w:val="Segoe Print"/>
    <w:panose1 w:val="00000000000000000000"/>
    <w:charset w:val="00"/>
    <w:family w:val="auto"/>
    <w:pitch w:val="default"/>
    <w:sig w:usb0="00000000" w:usb1="00000000" w:usb2="00000000" w:usb3="00000000" w:csb0="00000000" w:csb1="00000000"/>
  </w:font>
  <w:font w:name="DLF-1-190-323029283">
    <w:altName w:val="Segoe Print"/>
    <w:panose1 w:val="00000000000000000000"/>
    <w:charset w:val="00"/>
    <w:family w:val="auto"/>
    <w:pitch w:val="default"/>
    <w:sig w:usb0="00000000" w:usb1="00000000" w:usb2="00000000" w:usb3="00000000" w:csb0="00000000" w:csb1="00000000"/>
  </w:font>
  <w:font w:name="DLF-0-329-1077831068">
    <w:altName w:val="Segoe Print"/>
    <w:panose1 w:val="00000000000000000000"/>
    <w:charset w:val="00"/>
    <w:family w:val="auto"/>
    <w:pitch w:val="default"/>
    <w:sig w:usb0="00000000" w:usb1="00000000" w:usb2="00000000" w:usb3="00000000" w:csb0="00000000" w:csb1="00000000"/>
  </w:font>
  <w:font w:name="DLF-1-123-499535531">
    <w:altName w:val="Segoe Print"/>
    <w:panose1 w:val="00000000000000000000"/>
    <w:charset w:val="00"/>
    <w:family w:val="auto"/>
    <w:pitch w:val="default"/>
    <w:sig w:usb0="00000000" w:usb1="00000000" w:usb2="00000000" w:usb3="00000000" w:csb0="00000000" w:csb1="00000000"/>
  </w:font>
  <w:font w:name="DLF-1-151-380001417">
    <w:altName w:val="Segoe Print"/>
    <w:panose1 w:val="00000000000000000000"/>
    <w:charset w:val="00"/>
    <w:family w:val="auto"/>
    <w:pitch w:val="default"/>
    <w:sig w:usb0="00000000" w:usb1="00000000" w:usb2="00000000" w:usb3="00000000" w:csb0="00000000" w:csb1="00000000"/>
  </w:font>
  <w:font w:name="DLF-1-190-176693638">
    <w:altName w:val="Segoe Print"/>
    <w:panose1 w:val="00000000000000000000"/>
    <w:charset w:val="00"/>
    <w:family w:val="auto"/>
    <w:pitch w:val="default"/>
    <w:sig w:usb0="00000000" w:usb1="00000000" w:usb2="00000000" w:usb3="00000000" w:csb0="00000000" w:csb1="00000000"/>
  </w:font>
  <w:font w:name="DLF-1-190-721238343">
    <w:altName w:val="Segoe Print"/>
    <w:panose1 w:val="00000000000000000000"/>
    <w:charset w:val="00"/>
    <w:family w:val="auto"/>
    <w:pitch w:val="default"/>
    <w:sig w:usb0="00000000" w:usb1="00000000" w:usb2="00000000" w:usb3="00000000" w:csb0="00000000" w:csb1="00000000"/>
  </w:font>
  <w:font w:name="DLF-1-151-350836467">
    <w:altName w:val="Segoe Print"/>
    <w:panose1 w:val="00000000000000000000"/>
    <w:charset w:val="00"/>
    <w:family w:val="auto"/>
    <w:pitch w:val="default"/>
    <w:sig w:usb0="00000000" w:usb1="00000000" w:usb2="00000000" w:usb3="00000000" w:csb0="00000000" w:csb1="00000000"/>
  </w:font>
  <w:font w:name="DLF-0-329-414279640">
    <w:altName w:val="Segoe Print"/>
    <w:panose1 w:val="00000000000000000000"/>
    <w:charset w:val="00"/>
    <w:family w:val="auto"/>
    <w:pitch w:val="default"/>
    <w:sig w:usb0="00000000" w:usb1="00000000" w:usb2="00000000" w:usb3="00000000" w:csb0="00000000" w:csb1="00000000"/>
  </w:font>
  <w:font w:name="DLF-1-190-2037404404">
    <w:altName w:val="Segoe Print"/>
    <w:panose1 w:val="00000000000000000000"/>
    <w:charset w:val="00"/>
    <w:family w:val="auto"/>
    <w:pitch w:val="default"/>
    <w:sig w:usb0="00000000" w:usb1="00000000" w:usb2="00000000" w:usb3="00000000" w:csb0="00000000" w:csb1="00000000"/>
  </w:font>
  <w:font w:name="DLF-1-123-59332296">
    <w:altName w:val="Segoe Print"/>
    <w:panose1 w:val="00000000000000000000"/>
    <w:charset w:val="00"/>
    <w:family w:val="auto"/>
    <w:pitch w:val="default"/>
    <w:sig w:usb0="00000000" w:usb1="00000000" w:usb2="00000000" w:usb3="00000000" w:csb0="00000000" w:csb1="00000000"/>
  </w:font>
  <w:font w:name="DLF-1-138-959780090">
    <w:altName w:val="Segoe Print"/>
    <w:panose1 w:val="00000000000000000000"/>
    <w:charset w:val="00"/>
    <w:family w:val="auto"/>
    <w:pitch w:val="default"/>
    <w:sig w:usb0="00000000" w:usb1="00000000" w:usb2="00000000" w:usb3="00000000" w:csb0="00000000" w:csb1="00000000"/>
  </w:font>
  <w:font w:name="DLF-1-118-1631484965">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96DA2"/>
    <w:multiLevelType w:val="singleLevel"/>
    <w:tmpl w:val="9F496DA2"/>
    <w:lvl w:ilvl="0" w:tentative="0">
      <w:start w:val="1"/>
      <w:numFmt w:val="chineseCounting"/>
      <w:suff w:val="nothing"/>
      <w:lvlText w:val="（%1）"/>
      <w:lvlJc w:val="left"/>
      <w:rPr>
        <w:rFonts w:hint="eastAsia"/>
      </w:rPr>
    </w:lvl>
  </w:abstractNum>
  <w:abstractNum w:abstractNumId="1">
    <w:nsid w:val="A200812F"/>
    <w:multiLevelType w:val="singleLevel"/>
    <w:tmpl w:val="A200812F"/>
    <w:lvl w:ilvl="0" w:tentative="0">
      <w:start w:val="1"/>
      <w:numFmt w:val="decimal"/>
      <w:lvlText w:val="[%1]"/>
      <w:lvlJc w:val="left"/>
      <w:pPr>
        <w:tabs>
          <w:tab w:val="left" w:pos="312"/>
        </w:tabs>
        <w:ind w:left="105" w:leftChars="0" w:firstLine="0" w:firstLineChars="0"/>
      </w:pPr>
    </w:lvl>
  </w:abstractNum>
  <w:abstractNum w:abstractNumId="2">
    <w:nsid w:val="2F1DDBC2"/>
    <w:multiLevelType w:val="singleLevel"/>
    <w:tmpl w:val="2F1DDBC2"/>
    <w:lvl w:ilvl="0" w:tentative="0">
      <w:start w:val="1"/>
      <w:numFmt w:val="chineseCounting"/>
      <w:suff w:val="space"/>
      <w:lvlText w:val="%1、"/>
      <w:lvlJc w:val="left"/>
      <w:pPr>
        <w:ind w:left="105" w:leftChars="0" w:firstLine="0" w:firstLineChars="0"/>
      </w:pPr>
      <w:rPr>
        <w:rFonts w:hint="eastAsia"/>
      </w:rPr>
    </w:lvl>
  </w:abstractNum>
  <w:abstractNum w:abstractNumId="3">
    <w:nsid w:val="351B21B0"/>
    <w:multiLevelType w:val="singleLevel"/>
    <w:tmpl w:val="351B21B0"/>
    <w:lvl w:ilvl="0" w:tentative="0">
      <w:start w:val="6"/>
      <w:numFmt w:val="decimal"/>
      <w:lvlText w:val="[%1]"/>
      <w:lvlJc w:val="left"/>
      <w:pPr>
        <w:tabs>
          <w:tab w:val="left" w:pos="312"/>
        </w:tabs>
      </w:pPr>
    </w:lvl>
  </w:abstractNum>
  <w:abstractNum w:abstractNumId="4">
    <w:nsid w:val="38192699"/>
    <w:multiLevelType w:val="singleLevel"/>
    <w:tmpl w:val="38192699"/>
    <w:lvl w:ilvl="0" w:tentative="0">
      <w:start w:val="1"/>
      <w:numFmt w:val="decimal"/>
      <w:suff w:val="nothing"/>
      <w:lvlText w:val="%1．"/>
      <w:lvlJc w:val="left"/>
    </w:lvl>
  </w:abstractNum>
  <w:abstractNum w:abstractNumId="5">
    <w:nsid w:val="5ACC8BB7"/>
    <w:multiLevelType w:val="singleLevel"/>
    <w:tmpl w:val="5ACC8BB7"/>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271FD"/>
    <w:rsid w:val="6D42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2019-08-28T10:11:00Z</dcterms:created>
  <dc:creator>辉之恋</dc:creator>
  <cp:lastModifiedBy>辉之恋</cp:lastModifiedBy>
  <dcterms:modified xsi:type="dcterms:W3CDTF">2019-08-28T10:42:26Z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